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AARP/1/2020 vom 6. Januar 2020</w:t>
      </w:r>
    </w:p>
    <w:p>
      <w:r>
        <w:t>GE Cour de justice, 2020-01-06, FR</w:t>
      </w:r>
    </w:p>
    <w:p>
      <w:r>
        <w:rPr>
          <w:b/>
        </w:rPr>
        <w:t xml:space="preserve">Quelle: </w:t>
      </w:r>
      <w:r>
        <w:t>https://mcp.opencaselaw.ch/entscheid/ge_gerichte_AARP_1_2020</w:t>
      </w:r>
    </w:p>
    <w:p>
      <w:r>
        <w:t>FR: GE_GERICHTE AARP/1/2020 du 6 janvier 2020</w:t>
      </w:r>
    </w:p>
    <w:p>
      <w:r>
        <w:t>IT: GE_GERICHTE AARP/1/2020 del 6 gennaio 2020</w:t>
      </w:r>
    </w:p>
    <w:p>
      <w:pPr>
        <w:pStyle w:val="Heading2"/>
      </w:pPr>
      <w:r>
        <w:t>Erwägungen</w:t>
      </w:r>
    </w:p>
    <w:p>
      <w:r>
        <w:rPr>
          <w:b/>
        </w:rPr>
        <w:t>E. 22</w:t>
      </w:r>
    </w:p>
    <w:p>
      <w:r>
        <w:t>janvier 2019 le formulaire "autorisation de fouille d'appareils électroniques", à 17h30, avant de lui soumettre le formulaire "droit et obligation du prévenu", à 23h20. A______ ignorait donc qu'il avait le droit de refuser de signer le premier de ces documents. Il avait d'ailleurs, en connaissance de ses droits, ensuite refusé de signer le procès-verbal de son audition. Le MP n'avait de son côté pas ordonné la fouille probatoire effectuée, ni par écrit, ni oralement avec une confirmation écrite ultérieure. La police n'avait partant a fortiori pas l'autorisation de procéder aux auditions des témoins G______, I______, J______, M______, L______ et N______. Ainsi, la fouille du téléphone du prévenu était illicite de même que toutes les preuves administrées subséquemment (ATF 139 IV 128).</w:t>
      </w:r>
    </w:p>
    <w:p>
      <w:r>
        <w:t>- 10/28 - P/13971/2019 Le TP avait repris dans son jugement les quantités de drogues indiquées dans l'acte d'accusation. Or elles se fondaient uniquement sur la transcription des estimations des consommateurs. Seules 14 personnes sur les 32 entendues par la police avaient reconnu le prévenu, soit 43%. Plusieurs de ces consommateurs ne l'avaient pas reconnu formellement (témoin I______, J______), étant rappelé qu'il se faisait appeler "H______" et non "K______". Force était de constater que les déclarations des personnes entendues n'étaient pas fiables et n'avaient dès lors aucune force probante. Seuls les aveux du prévenu devaient être pris en compte, à savoir une auto incrimination pour la vente d'environ 25 g de cocaïne, en l'absence de toute preuve matérielle. Nonobstant deux fouilles minutieuses de sa personne et de ses affaires, par des policiers aguerris, aucune drogue n'avait été retrouvée en sa possession. Selon le rapport de la prison, les boulettes de cocaïne se trouvaient dans la poche droite de son pantalon. Autrement dit, si le prévenu avait été en possession de 11 boulettes de cocaïne, les policiers ayant procédé aux fouilles précitées les auraient trouvées. A______ n'avait pas d'antécédents susceptibles de le priver du sursis complet. Il pouvait ainsi prétendre au prononcé d'une peine privative de liberté inférieure à un an assortie du sursis complet. Cette nouvelle peine et le temps passé en détention provisoire auraient l'effet dissuasif permettant de renoncer à la révocation du sursis octroyé en 2014. Dans la mesure où seule une violation de l'article 19 al. 1 LStup pouvait être retenue à son endroit, il ne devait pas être expulsé de Suisse. c. Le MP conclut au rejet de l'appel. Rappelant les circonstances de l'interpellation du prévenu, le MP relève que les policiers étaient parfaitement fondés à fouiller le contenu de ses téléphones ce d'autant plus qu'il était connu pour trafic de stupéfiants. Le fait que ce dernier ait préalablement à la signature du formulaire d'autorisation de fouilles d'appareils électroniques refusé de donner le code de son E______ démontrait qu'il savait parfaitement qu'il avait le droit de ne pas collaborer, étant au demeurant relevé que c'était le portable F______ qui avait été fouillé. Quand bien même les policiers n'auraient pas disposé d'une autorisation valable, il ne se serait agi que d'une violation d'une prescription d'ordre. Le MP n'avait retenu à l'encontre du prévenu que la quantité globale minimale fondée sur les déclarations des consommateurs l'ayant reconnu comme leur fournisseur ou auxquels lui-même reconnaissait avoir vendu de la cocaïne, à l'exception donc des consommateurs ne l'ayant pas reconnu. Le prévenu ne pouvait plus bénéficier du sursis compte tenu de ses trois précédentes condamnations et la récidive en particulier dans le trafic de stupéfiants. La peine</w:t>
      </w:r>
    </w:p>
    <w:p>
      <w:r>
        <w:t>- 11/28 - P/13971/2019 prononcée dans la présente procédure n'était pas suffisante pour le dissuader de récidiver de sorte que la révocation du sursis du 12 mars 2014 se justifiait. La confirmation de la condamnation du prévenu pour infraction à l'art. 19 al. 2 LSup commandait son expulsion, étant relevé qu'il ne contestait pas l'absence du cas de rigueur à sa situation. d. Le Tribunal pénal se réfère intégralement à son jugement. e. Par courriers de la CPAR du 12 décembre 2019, auxquels elles n'ont pas réagi, les parties ont été informées que la cause serait gardée à juger sous dizaine. D. A______ affirme être né le ______ 1994 en Mauritanie, mais la véracité de cette identité est remise en cause par le fichier AFIS, duquel il ressort que ses empreintes sont également reliées à un certain [AT______], né le ______ 1980 au Sénégal et par ses trois envois d'argent au Sénégal en 2018. Il n'a pas été possible de déterminer laquelle de ces deux identités est la bonne, étant toutefois précisé que plusieurs éléments du dossier, dont les témoignages de AS______ et de AU______, laissent apparaître que A______ pourrait plus vraisemblablement être de nationalité sénégalaise. Il se dit célibataire. Aucun membre de sa famille ne vivrait en Suisse, à l'exception d'une fille qu'il dit avoir à Fribourg mais qu'il n'a toutefois pas reconnue. Il a refusé de fournir l'identité de la mère de cette dernière. Sans domicile connu, à l'exception du [no.] ______, rue 3______ où il logeait à la période de son interpellation, il dit vivre chez des amis et non à l'adresse précitée. Il affirme retirer des revenus irréguliers au noir pouvant aller jusqu'à CHF 3'000.- par mois en travaillant à Genève et à Fribourg. Il dit vouloir rester en Suisse, régulariser sa situation administrative et chercher du travail.</w:t>
      </w:r>
    </w:p>
    <w:p>
      <w:r>
        <w:t>Il ressort du casier judiciaire suisse de A______ qu'il a été condamné :  le 12 mars 2014 par le MP à une peine pécuniaire de 90 jours-amende à CHF 30.- l'unité, avec sursis et délai d'épreuve de trois ans, prolongé le 12 septembre 2016 par la CPAR d'un an et six mois, pour faux dans les certificats, activité lucrative sans autorisation, comportement frauduleux à l'égard des autorités et séjour illégal.  le 12 septembre 2016 par la CPAR à une peine pécuniaire de 60 jours-amende à CHF 10.- l'unité pour infraction simple à la LStup et séjour illégal. E. Me C______, défenseur d'office de A______, dépose un état de frais pour la procédure d'appel, comptabilisant, sous des libellés divers, 8h45 d'activité de cheffe d'étude. Elle a été indemnisée à hauteur de 47h15 d'activité en première instance.</w:t>
      </w:r>
    </w:p>
    <w:p>
      <w:r>
        <w:t>- 12/28 - P/13971/2019 EN DROIT : 1. 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 2. 2.1. Aux termes de l'art. 141 al. 2 CPP, les preuves qui ont été administrées d'une manière illicite ou en violation de règles de validité par les autorités pénales ne sont pas exploitables, à moins que leur exploitation soit indispensable pour élucider des infractions graves. L'art. 141 al. 3 CPP prévoit, en revanche, que les preuves administrées en violation de prescriptions d'ordre sont exploitables. Lorsque la loi ne qualifie pas elle-même une disposition de règle de validité, la distinction entre une telle règle et une prescription d'ordre s'opère en prenant principalement pour critère l'objectif de protection auquel est censée ou non répondre la norme. Si la disposition de procédure en cause revêt une importance telle pour la sauvegarde des intérêts légitimes de la personne concernée qu'elle ne peut atteindre son but que moyennant l'invalidation de l'acte de procédure accompli en violation de cette disposition, on a affaire à une règle de validité (ATF 139 IV 128 consid. 1.6 p. 134 ; Message relatif à l'unification du droit de la procédure pénale [CPP] du 21 décembre 2005, FF 2006 1163 ; arrêt du tribunal fédéral 6B_998/2017 du 20 avril 2018 consid. 2.2.1). S'agissant de déterminer quand une preuve administrée illicitement au sens de l'art. 141 al. 2 CPP peut néanmoins être exploitée en vertu de cette disposition, le Tribunal fédéral a repris la jurisprudence rendue avant l'entrée en vigueur du CPP selon laquelle plus l'infraction à juger est grave, plus l'intérêt public à l'élucider prime sur l'intérêt privé du prévenu à ce que la preuve litigieuse ne soit pas exploitée (ATF 131 272 consid. 4.1.2 p. 279 ; 137 I 218 consid. 2.3.4 p. 223 ; arrêts du Tribunal fédéral 6B_323/2013 du 3 juin 2013 consid. 3.5 ; 6B_490/2013 du 14 octobre 2013 consid. 2.4). En conclusion, l'on peut dire que le code subdivise la réglementation des moyens de preuve obtenus illégalement en trois catégories. Ainsi, s'il s'agit de la violation d'une prescription d'ordre, la preuve peut en tout temps être utilisée (art. 141 al. 3 CPP) ; si l'on a affaire à la violation d'une règle de validité, la preuve illicite ne peut être exploitée qu'en cas d'infraction grave (art. 141 al. 2 CPP) et si elle est indispensable ; en dernier lieu, si la preuve illicite a été obtenue par le biais de la contrainte, de la force, des menaces, des promesses, de la tromperie ou des moyens susceptibles de limiter le libre-arbitre et les facultés intellectuelles, la preuve n'est jamais admissible et ne peut jamais être exploitée (art. 141 al. 1 CPP). La question de savoir si, dans un cas particulier, l'on se trouve en présence d'une règle de validité ou d'une prescription d'ordre se détermine (dans la mesure où la loi ne désigne pas elle-même la norme</w:t>
      </w:r>
    </w:p>
    <w:p>
      <w:r>
        <w:t>- 13/28 - P/13971/2019 comme étant une règle de validité) en première ligne compte tenu du but protecteur de la norme : on est en présence d'une règle de validité si la règle de procédure a une signification si importante pour la garantie des intérêts protégés de la personne intéressée, qu'elle ne peut atteindre son but que si l'acte de procédure est nul en cas d'inobservation de celle-ci (ATF 139 IV 128 = JdT 2014 IV 15 consid. 1.6). Le Tribunal fédéral a jugé que la fouille par des fonctionnaires de police dans le E______ d'une personne appréhendée, soit dans le répertoire d'adresses enregistrées, sans l'autorisation préalable du Ministère public ne conduisait pas à une interdiction d'exploiter, la nécessité du mandat de perquisition relevant en l'occurrence de la simple prescription d'ordre dès lors que les conditions pour la perquisition de le E______ étaient en tant que telles réalisées, la mesure n'était pas disproportionnée, les policiers s'étaient apparemment limités à prendre les adresses stockées dans l'appareil et qu'il n'y avait aucune raison de penser qu'ils avaient sciemment omis de requérir un mandat de la part du Ministère public (ATF 139 IV 128 = JdT 2014 IV 15 consid. 1.7).</w:t>
      </w:r>
    </w:p>
    <w:p>
      <w:r>
        <w:t>2.2. En l'espèce, le prévenu a été interpellé par la police le 22 janvier 2019 pour la quatrième fois depuis le 30 septembre 2012. Partant, il était parfaitement au courant de ses droits le 22 janvier 2019 avant même d'avoir signé le formulaire ad hoc, étant relevé qu'il ne soutient pas le contraire. Il connaissait ainsi en particulier son droit de ne pas s'auto incriminer au moment où il a signé le formulaire autorisant la police à procéder à la fouille de son téléphone portable F______. Au moment de son interpellation, il détenait dans son sac trois quittances d'envoi d'argent au Sénégal datées du 27 septembre et du 18 avril 2018 pour des montants de CHF 93.10, CHF 95.- et CHF 333.-. Dans la mesure où il était sans statut à Genève, démuni de papiers d'identité et apparemment de moyens de subsistances légaux, la police était fondée à le soupçonner d'un trafic de stupéfiants, ce qui s'est révélé avéré. Comme c'était le cas dans l'arrêt du Tribunal fédéral susmentionné (ATF 139 IV 128), la police s'est en l'espèce limitée à relever les numéros des contacts stockés dans l'appareil F______ du prévenu qui n'était, ce qui ressort de son rapport, pas verrouillé. Par conséquent, l'examen de son téléphone était licite, ce qui est également le cas des preuves recueillies ultérieurement sur cette base, à savoir les témoignages de divers clients toxicomanes. La question préjudicielle est rejetée. 3. 3.1. 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w:t>
      </w:r>
    </w:p>
    <w:p>
      <w:r>
        <w:t>- 14/28 - P/13971/2019 que l'appréciation des preuves au sens large (ATF 127 I 28 consid. 2a p. 40 s. ; ATF 144 IV 345 consid. 2.2.3.2). En tant que règle sur le fardeau de la preuve, la présomption d'innocence signifie, au stade du jugement, que ce fardeau incombe à l'accusation et que le doute doit profiter au prévenu. Le principe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En revanche, l'absence de doute à l'issue de l'appréciation des preuves exclut la violation de la présomption d'innocence en tant que règle sur le fardeau de la preuve (ATF 144 IV 345 consid. 2.2.3). Lorsque l'accusé refuse sans raison plausible de fournir des explications rendues nécessaires par des preuves à charge, son silence peut permettre, sans violation de ce principe et par un raisonnement de bon sens conduit dans le cadre de l'appréciation des preuves, de conclure qu'il n'existe pas d'explication à décharge et que l'accusé est coupable (arrêts du Tribunal fédéral 6B_47/2018 du 20 septembre 2018 consid. 1.1 ; 6B_748/2009 du 2 novembre 2009 consid. 2.1).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2.2.1). L'autorité de jugement dispose d'un large pouvoir dans l'appréciation des preuves (ATF 120 Ia 31 consid. 4b p. 40), en application duquel, selon l'art. 10 al. 2 CPP, le juge donne aux moyens de preuve produits tout au long de la procédure la valeur qu'il estime devoir leur attacher pour se forger une intime conviction sur la réalité d'un fait (arrêt du Tribunal fédéral 6B_348/2012 du 24 octobre 2012 consid. 1.3). Confronté à des versions contradictoires, le juge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arrêts du Tribunal fédéral 6B_324/2017 du 8 mars 2018 consid. 1.1 ; 6B_1183/2016 du 24 août 2017 consid. 1.1 ; 6B_445/2016 du 5 juillet 2017 consid. 5.1). 3.2. L'art. 19 al. 1 let. c et d LStup punit d'une peine privative de liberté de trois ans au plus ou d'une peine pécuniaire, notamment celui qui, sans droit, aliène ou prescrit des stupéfiants, en procure de toute autre manière à un tiers ou en met dans le</w:t>
      </w:r>
    </w:p>
    <w:p>
      <w:r>
        <w:t>- 15/28 - P/13971/2019 commerce (let. c) et celui qui, sans droit, possède, détient ou acquiert des stupéfiants ou s'en procure de toute autre manière (let. d). Selon l'art. 19 al. 2 let. a LStup, le cas est grave lorsque l'auteur sait ou ne peut ignorer que l'infraction peut directement ou indirectement mettre en danger la santé de nombreuses personnes. Pour apprécier le danger que représente un stupéfiant pour la santé, il convient non seulement de prendre en compte la quantité mais également d'autres facteurs tels le risque d'overdose, la forme d'application ou le mélange avec d'autres drogues (FF 2006 8178 ; FF 2001 3594 ; SJ 2010 II 145 p. 156). S'agissant de la quantité pour la cocaïne, la condition est objectivement remplie dès que l'infraction porte sur une quantité contenant 18 grammes de substance pure (ATF 138 IV 100 consid. 3.2 p. 103 ; 109 IV 143 consid. 3b p. 145 ; arrêt du Tribunal fédéral 6B_1230/2015 du 22 avril 2016 consid. 4.4.2. Si l'auteur commet plusieurs actes distincts, les quantités qui en sont l'objet doivent être additionnées (ATF 112 IV 109 consid. 2b p. 113). Dans ce cadre, il sied de déterminer la quantité de drogue pure sur laquelle a porté l'infraction, qui est seule décisive (ATF 121 IV 193 consid. 2b/aa p. 196). Selon la jurisprudence, lorsque la drogue n'est plus disponible pour une analyse, le taux de pureté peut être déterminé sur une base statistique en référence au degré de pureté habituel à l'époque du trafic (ATF 138 IV 100 consid. 3.5 p. 105 ; arrêt du Tribunal fédéral 6B_940/2014 du 16 septembre 2015 consid. 5.3.1). A Genève, de jurisprudence constante, l'on retient, pour la cocaïne, le bas de la fourchette du taux de pureté moyen du marché local, soit 20% (cf. AARP/207/2011 du 15 décembre 2011 ; ACJP/2015/2010 du 18 octobre 2010), cette méthode ayant été confirmée par le Tribunal fédéral (arrêt du Tribunal fédéral 6B_632/2008 du 10 mars 2009 consid. 1). 3.3. En l'espèce, lors de son interpellation, l'appelant détenait sur lui deux téléphones portables, dont l'un de marque F______ correspondant au raccordement (2______), dont l'examen a permis l'identification d'à tout le moins 34 consommateurs de cocaïne, et pour l'un d'eux, en sus, de marijuana, qui utilisaient le raccordement précité pour se procurer de la drogue. Une trentaine de ces consommateurs ont été entendus par la police. Certains d'entre eux ont formellement reconnu l'appelant sur présentation d'une planche de photographies, d'autres non. Bien que les témoignages des individus ayant identifié l'appelant suffisent à confirmer l'existence d'un trafic de stupéfiants, il est encore relevé pour le surplus que la quasi-totalité des consommateurs entendus ont été concordants sur le fait qu'ils s'approvisionnaient en cocaïne par transactions de boulettes d'1 gr gramme vendues CHF 100.- l'unité auprès d'un dealer de type africain surnommé "H______", qui utilisait le raccordement précité. Ceux qui ont été interrogés à ce sujet ont systématiquement nié la possibilité qu'un second dealer ait pu utiliser ce même numéro de téléphone et les avoir fournis en drogue. Au contraire,</w:t>
      </w:r>
    </w:p>
    <w:p>
      <w:r>
        <w:t>- 16/28 - P/13971/2019 il ressort de la quasi-totalité des témoignages que "H______" était leur unique fournisseur et, aux dires de certains, qu'il se présentait toujours seul lors des transactions. La thèse soutenue par l'appelant à cet égard, selon laquelle le téléphone en question appartenait à l'un de ses amis qui le lui laissait quand il partait en vacances pour qu'il reprenne le trafic de cocaïne à son compte est, partant, fantaisiste et bien en-deçà de sa réelle implication. La découverte sur l'appelant à son arrivée à la prison B______ de 11 boulettes de cocaïne d'un poids total de 10.35 gr étaye cette implication, une telle quantité n'étant pas compatible avec une consommation personnelle, au demeurant jamais avancée par le prévenu. Ses explications sur la découverte de cette drogue au moment de prendre sa douche à son arrivée à la prison sont à nouveau dépourvues de toute consistance dans la mesure où il est bien peu plausible que des gardiens, voire la police en amont, dont on peine à comprendre quelle serait leur motivation, auraient caché de la drogue dans son pantalon. L'antécédent lié aux stupéfiants de l'appelant renforce encore ces charges. Au regard des affirmations des consommateurs entendus, considérées comme crédibles (cf. supra consid. B.g.d.), la quantité de cocaïne leur ayant été vendue par l'appelant peut être estimée à 129 gr, au total, dans la fourchette inférieure la plus favorable au prévenu. S'y ajoutent les 11 boulettes de cocaïne d'un poids d'environ 10 gr susmentionnées, ce qui porte la quantité totale de cocaïne vendue par le prévenu ou qu'il destinait à la vente à 139 gr. En l'absence d'analyse du taux de pureté des stupéfiants encore disponibles et conformément à la jurisprudence en la matière, le taux de pureté moyen a valablement été fixé à 20% par le premier juge. Avec un tel taux de pureté, correspondant par ailleurs au bas de la fourchette de celui du marché local, la quantité de drogue pure dépasse déjà le seuil minimal de 18 gr suffisant pour mettre la vie de nombreuses personnes en danger (139 gr x 20% = 27,8 gr). La culpabilité de l'appelant s'agissant de la violation grave de la LStup sera, partant, confirmée. 4. L'infraction grave à la LStup (art. 19 al. 1 let. c et d et al. 2 let. a LStup) est passible d'une peine privative de liberté d'un an au moins et de vingt ans au plus, tandis que le séjour illégal (art. 115 al. 1 LEI) est passible d'une peine privative de liberté d'un an au plus ou d'une peine pécuniaire.</w:t>
      </w:r>
    </w:p>
    <w:p>
      <w:r>
        <w:t>4.1.1. Selon l'art. 47 du Code pénal suisse du 21 décembre 1937 (CP -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w:t>
      </w:r>
    </w:p>
    <w:p>
      <w:r>
        <w:t>- 17/28 - P/13971/2019 pu éviter la mise en danger ou la lésion, compte tenu de sa situation personnelle et des circonstances extérieures (al. 2).</w:t>
      </w:r>
    </w:p>
    <w:p>
      <w:r>
        <w:t>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4.1.2. En matière de trafic de stupéfiants, il y a lieu de tenir compte, plus spécialement, des circonstances suivantes. Même si la quantité de la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(ATF 138 IV 100 consid. 3.2 p. 103). Le type de drogue et sa pureté doivent aussi être pris en considération. Si l'auteur sait que la drogue est particulièrement pure, sa culpabilité sera plus grande ; en revanche, sa culpabilité sera moindre s'il sait que la drogue est diluée plus que normalement (ATF 122 IV 299 consid. 2c p. 301 ; ATF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 à cela s'ajoute que l'importation en Suisse de drogues a des répercussions plus graves que le seul transport à l'intérieur des frontières. Enfin, le nombre d'opérations constitue un indice pour mesurer l'intensité du comportement délictueux ; celui qui écoule une fois un kilo d'héroïne sera en principe moins sévèrement puni que celui qui vend cent grammes à dix reprises (arrêt du Tribunal fédéral 6B_189/2017 du 7 décembre 2017 consid. 5.1 et les références). S'agissant d'apprécier les mobiles qui ont poussé l'auteur à agir, le juge doit distinguer le cas de celui qui est lui-même toxicomane et agit pour financer sa propre consommation de celui qui participe à un trafic uniquement poussé par l'appât du gain (arrêts du Tribunal fédéral 6B_189/2017 du 7 décembre 2017 consid. 5.1 ; 6B_843/2014 du 7 avril 2015 consid. 1.1.1).</w:t>
      </w:r>
    </w:p>
    <w:p>
      <w:r>
        <w:t>- 18/28 - P/13971/2019 Outre les éléments qui portent sur l'acte lui-même, le juge doit prendre en considération la situation personnelle du délinquant, à savoir sa vulnérabilité face à la peine, ses obligations familiales, sa situation professionnelle, les risques de récidive, etc.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p. 204 ; ATF 118 IV 342 consid. 2d p. 349). 4.1.3. 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3ème éd., 2013,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2009, n. 55 ad art. 47 CP). Une série d'infractions semblables pèse plus lourd que des actes de nature différente. Les condamnations passées perdent de leur importance avec l'écoulement du temps (ATF 135 IV 87 consid. 2 p. 89). 4.1.4. Conformément à l'art. 49 al. 1 CP, si, en raison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127 IV 101 consid. 2b p. 104 ; arrêts du Tribunal fédéral 6B_688/2014 du 22 décembre 2017 consid. 27.2.1 ; 6B_1175/2017 du 11 avril 2018 consid. 2.1). Lorsque les différentes infractions sont étroitement liées sur les plans matériel et temporel, de sorte qu'elles ne peuvent pas être séparées et être jugées pour elles seules, le juge ne viole pas le droit fédéral s'il ne détermine pas pour chaque infraction une peine hypothétique, mais fixe une peine de manière globale (arrêt du Tribunal fédéral 6B_1011/2014 du 16 mars 2015 consid. 4.4).</w:t>
      </w:r>
    </w:p>
    <w:p>
      <w:r>
        <w:t>- 19/28 - P/13971/2019 Le juge a l'obligation d'aggraver la peine en cas de concours d'infraction (ATF 103 IV 225 ; arrêt du Tribunal fédéral 6B_1216/2017 du 11 juin 2018 consid. 1.1.1). 4.2.1. À l'aune de l'art. 2 CP, la réforme du droit des sanctions, entrée en vigueur le 1er janvier 2018, est en règle générale moins favorable à la personne condamnée (M. DUPUIS / L. MOREILLON / C. PIGUET / S. BERGER / M. MAZOU / V. RODIGARI [éds], Code pénal - Petit commentaire, 2e éd., Bâle 2017, Rem. prél. ad art. 34 à 41 CP, n. 6), sauf notamment en ce qui concerne les conséquences d'une révocation de sursis, l'art. 46 al. 1 nouveau CP prévoyant que si la peine dont le sursis est révoqué et la nouvelle peine prononcée sont du même genre, le juge fixe une peine d'ensemble en appliquant par analogie l'art. 49 al. 1 CP. En l'espèce, les faits reprochés ont été commis avant l'entrée en vigueur du nouveau droit des sanctions. Vu la révocation du sursis (cf. infra consid. 4.3.), le nouveau droit des sanctions paraît plus favorable à l'appelant. Il sera partant appliqué. 4.2.2. Aux termes de l'art. 41 al. 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4.2.3. Dans le cas des peines privatives de liberté qui excèdent la limite fixée pour l'octroi du sursis (soit entre deux et trois ans), l'art. 43 CP s'applique de manière autonome. En effet, exclu dans ces cas (art. 42 al. 1 CP), le sursis complet est alors remplacé par le sursis partiel pour autant que les conditions subjectives en soient remplies. Le but de la prévention spéciale trouve alors ses limites dans les exigences de la loi qui prévoit dans ces cas qu'une partie au moins de la peine doit être exécutée en raison de la gravité de la faute commise (ATF 134 IV 1 consid. 5.5.1 p. 14). Les conditions subjectives permettant l'octroi du sursis (art. 42 CP), à savoir les perspectives d'amendement, valent en revanche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(ATF 134 IV 1 consid. 5.3.1 p. 10 ; arrêt du Tribunal fédéral 6B_129/2015 du 11 avril 2016 consid. 3.1 non reproduit in ATF 142 IV 89). Les conditions subjectives auxquelles l'art. 42 CP soumet l'octroi du sursis intégral s'appliquent également à l'octroi du sursis partiel (ATF 139 IV 270 consid. 3.3 p. 277 ; ATF 134 IV 1 consid. 5.3.1 p. 10). Par conditions subjectives, il faut entendre notamment la condition posée à l'art. 42 al. 2 CP (ATF 134 IV 1 consid. 4.2 et 4.2.3 p. 5 ss).</w:t>
      </w:r>
    </w:p>
    <w:p>
      <w:r>
        <w:t>- 20/28 - P/13971/2019 4.3. L'appelant ne conteste à juste titre pas le genre de peine sanctionnant les délits, mais en demande la réduction et l'octroi d'un sursis. En l'espèce, sa faute peut être qualifiée d'importante. Il s'est livré à un trafic de cocaïne, une drogue dure, pendant plusieurs années, soit depuis 2016 à tout le moins, selon les témoignages de certains consommateurs. Ce trafic a porté sur une quantité de drogue pure propre à mettre en danger la santé de nombreuses personnes. La liste des clients du prévenu était conséquente, la police en ayant identifié potentiellement 80 dans son téléphone, même si 30 seulement ont finalement été entendus et que 14 d'entre eux l'ont formellement reconnu. Il ressort des auditions de ces derniers qu'il s'agissait pour certains d'entre eux de clients fidèles, ce qui démontre que l'appelant n'a pas agi de manière ponctuelle seulement, mais s'est volontairement inscrit durablement dans la délinquance. Il est en outre demeuré illégalement sur le territoire suisse durant une période pénale à tout le moins d'environ quatre ans, alors que sa demande d'asile avait été rejetée en 2013 et qu'il faisait l'objet d'une décision de renvoi. Son mobile, qui relève de l'appât du gain facile, est purement égoïste. Sa situation personnelle, certes précaire, ne justifie pas ses actes, ce d'autant moins qu'elle est la conséquence de sa décision de rester illégalement en Suisse. Sa collaboration est nulle, tout comme sa prise de conscience, dès lors qu'il n'a pas cessé de nier sa culpabilité, de fournir aux autorités des explications fantaisistes s'agissant de son implication dans le trafic de stupéfiants, et à s'obstiner à affirmer ne pas avoir su qu'il n'était pas autorisé à demeurer sur le territoire suisse. Il n'a par ailleurs jamais mesuré la portée de ses actes et leurs conséquences. Sa récidive démontre qu'il n'a pas tiré de leçon de ses précédentes condamnations. Les antécédents judiciaires de l'appelant sont récents et spécifiques, portant sur des infractions à la LStup et à la LEI (aLEtr), ce qui démontre que les condamnations dont il a fait l'objet n'ont eu aucun impact sur son comportement. Le pronostic quant à son comportement futur est clairement défavorable, dans la mesure où il a délibérément persisté dans ses agissements délictueux en dépit de ses condamnations des 12 mars 2014 et 12 septembre 2016 et du sursis lui ayant été octroyé en 2014, non révoqué par la CPAR en 2016 mais dont la durée du délai d'épreuve a été prolongée d'une année et six mois. La situation personnelle actuelle du prévenu n'est pas meilleure que celle préexistant au moment des infractions et il ne démontre pas avoir changé d'attitude. Une peine ferme s'impose dans ces conditions, de même que la révocation du sursis du 12 mars 2014 (peine pécuniaire de 90 jours-amende à CHF 30.-). Il y a concours d'infractions entre les art. 19 al. 1 let. c et d et al. 2 let. a LStup, et 115 al. 1 let. b LEI, ce qui commande une augmentation de la peine dans une juste</w:t>
      </w:r>
    </w:p>
    <w:p>
      <w:r>
        <w:t>- 21/28 - P/13971/2019 proportion et exclut l'application de la Directive 2008/115/CE du Parlement européen et du Conseil relative aux normes et procédures communes applicables dans les Etats membres au retour des ressortissants de pays tiers en séjour irrégulier du 16 décembre 2018 (Directive sur le retour) (arrêt du Tribunal fédéral 6B_320/2013 du 29 août 2013 consid. 3.2). Comme développé à bon escient par le premier juge, la peine plancher de l'infraction grave à la LStup est une peine privative de liberté d'un an. L'infraction de séjour illégal, elle, peut être sanctionnée par une peine privative d'un an au plus ou d'une peine pécuniaire. Eu égard à la récidive spécifique de l'appelant, le séjour illégal doit également être puni d'une peine privative de liberté, seule à même de le détourner de la commission de nouvelles infractions. Au regard de ce qui précède et tout bien pesé, la peine de 18 mois fixée par le Tribunal de police apparaît proportionnée et adéquate et sera par conséquent confirmée. 5. 5.1. Conformément à l'art. 66a al. 1 CP, le juge expulse un étranger du territoire suisse pour une durée de cinq à quinze ans s'il est reconnu coupable de l'une des infractions énumérées aux let. a à o. La let. o prévoit que tel est le cas si l'étranger a commis une infraction à l'art. 19 al. 2 LStup notamment. Selon l'al. 2 de cette disposition, il peut néanmoins être renoncé à l'expulsion, exceptionnellement, lorsque celle-ci mettrait l'étranger dans une situation personnelle grave et que les intérêts publics à l'expulsion ne l'emportent pas sur son intérêt à demeurer en Suisse, la situation de celui qui est né et a grandi en Suisse méritant une prise en compte particulière (AARP/119/2017 du 20 mars 2017 consid. 4.1). Dans son projet du 26 juin 2013, le Conseil fédéral avait considéré que le principe de la proportionnalité – au sens strict – commandait de conditionner l'expulsion du prévenu à un acte d'une certaine gravité, qui résulterait à la fois de la sanction prévue par la loi et de la peine prononcée dans le cas concret (Message concernant une modification du code pénal et du code pénal militaire [mise en œuvre de l'art. 121, al. 3 à 6, Cst. relatif au renvoi des étrangers criminels], FF 2013 5423). Le législateur n'a toutefois pas retenu les seuils minimaux proposés par le Conseil fédéral. Ainsi, l'art. 66a CP prévoit l'expulsion "obligatoire" de l'étranger condamné pour l'une des infractions ou combinaison d'infractions listées à l'al. 1, quelle que soit la quotité de la peine prononcée à son encontre. L'expulsion est donc également en principe indépendante de la gravité des faits retenus (arrêt du Tribunal fédéral 6B_506/2017 du 14 février 2018 consid. 1.1 = SJ 2018 I 397 ; A. BONARD, Expulsion pénale : la mise en œuvre de l'initiative sur le renvoi, questions choisies et premières jurisprudences, in Forumpoenale 5/2017 p. 315 ; G. FIOLKA / L. VETTERLI, Die Landesverweisung in Art. 66a ff StGB als strafrechtliche Sanktion, in Plädoyer 5/2016 p. 84). L'art. 66a al. 2 CP définit une "Kannvorschrift", en ce sens que le juge n'a pas l'obligation de renoncer à l'expulsion, mais peut le faire si les conditions fixées par</w:t>
      </w:r>
    </w:p>
    <w:p>
      <w:r>
        <w:t>- 22/28 - P/13971/2019 cette disposition sont remplies. Ces conditions sont cumulatives. Afin de pouvoir renoncer à une expulsion prévue par l'art. 66a al. 1 CP, il faut donc que cette mesure mette l'étranger dans une situation personnelle grave et que l'intérêt public soit de peu d'importance, c'est-à-dire que les intérêts publics à l'expulsion ne l'emportent pas sur l'intérêt privé de l'étranger à demeurer en Suisse. Le fait que la clause de rigueur soit une norme potestative ne signifie pas que le juge pénal pourrait librement décider d'appliquer ou non l'exception de l'art. 66a al. 2 CP.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l'art. 5 al. 2 Cst. serait violé. Le juge doit ainsi renoncer à l'expulsion lorsque les conditions de l'art. 66a al. 2 CP sont réunies, conformément au principe de proportionnalité (ATF 144 IV 332 consid. 3.3). La loi ne définit pas ce qu'il faut entendre par une "situation personnelle grave" (première condition cumulative) ni n'indique les critères à prendre en compte dans la pesée des intérêts (seconde condition cumulative). En recourant à la notion de cas de rigueur dans le cadre de l'art. 66a al. 2 CP, le législateur a fait usage d'un concept ancré depuis longtemps dans le droit des étrangers (cf. art. 30 al. 1 let. b ou 50 al. 1 let. b et 84 al. 5 de la loi fédérale sur les étrangers [LEtr – RS 142.20], ainsi que l'art. 14 de la loi sur l'asile [LAsi – RS 142.31]). Compte tenu également du lien étroit entre l'expulsion pénale et les mesures du droit des étrangers, il est justifié de s'inspirer, de manière générale, des critères prévus par l'art. 31 al. 1 de l'ordonnance relative à l'admission, au séjour et à l'exercice d'une activité lucrative (OASA – RS 142.201) et de la jurisprudence y relative, dans le cadre de l'application de l'art. 66a al. 2 CP. L'art. 31 al. 1 OASA prévoit qu'une autorisation de séjour peut être octroyée dans les cas individuels d'extrême gravité. Elle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144 IV 332 consid. 3.3.1 et 3.3.2). La jurisprudence rendue en droit des étrangers retient que la révocation de l'autorisation d'établissement d'un étranger qui séjourne depuis longtemps en Suisse doit se faire avec une retenue particulière. Elle n'est toutefois pas exclue en cas d'infractions graves ou répétées, même s'agissant d'un étranger né en Suisse et qui y a passé l'entier de sa vie. On tiendra alors particulièrement compte de l'intensité des liens de l'étranger avec la Suisse et des difficultés de réintégration dans son pays d'origine (ATF 144 IV 332 consid. 3.3.3 et les arrêts cités). Pour se prévaloir d'un</w:t>
      </w:r>
    </w:p>
    <w:p>
      <w:r>
        <w:t>- 23/28 - P/13971/2019 droit au respect de sa vie privée, l'étranger doit établir l'existence de liens sociaux et professionnels spécialement intenses avec la Suisse, notablement supérieurs à ceux qui résultent d'une intégration ordinaire. Une approche schématique qui consisterait à présumer, à partir d'une certaine durée de séjour en Suisse, que l'étranger y est enraciné et dispose de ce fait d'un droit de présence dans notre pays ne doit pas être adoptée. Une pesée des intérêts en présence doit lui être préférée, en considérant la durée du séjour en Suisse comme un élément parmi d'autres et en n'accordant qu'un faible poids aux années passées en Suisse dans l'illégalité, en prison ou au bénéfice d'une simple tolérance (ATF 134 II 10 consid. 4.3 ; arrêts du Tribunal fédéral 6B_661/2019 du 12 septembre 2019 consid. 3.3.1 et 3.3.2 et référence citée).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(arrêt du Tribunal fédéral 6B_1192/2018 du 23 janvier 2019 consid. 2.1.2 et références citées). La reconnaissance d'un cas de rigueur ne se résume pas à la simple constatation des potentielles conditions de vie dans le pays d'origine ou du moins la comparaison entre les conditions de vie en Suisse et dans le pays d'origine, mais aussi à la prise en considération des éléments de la culpabilité ou de l'acte (M. BUSSLINGER / P. UEBERSAX, Härtefallklausel und migrationsrechtliche Auswirkungen der Landesverweisung, cahier spécial, Plaidoyer 5/2016, p. 101 ; G. FIOLKA / L. VETTERLI, Die Landesverweisung in Art. 66a ff StGB als strafrechtliche Sanktion, cahier spécial, Plaidoyer 5/2016, p. 87 ; AARP/185/2017 du 2 juin 2017 consid. 2.2). 5.2. En l'espèce, l'appelant est notamment condamné pour infraction grave à la LStup, dont il est fait mention à l'art. 66a al. 1 let. o CP comme infraction donnant lieu à l'expulsion obligatoire. Il est arrivé en Suisse en 2012 en provenance d'Afrique et y a déposé une demande d'asile, de laquelle il a définitivement été débouté en 2013. Il a affirmé n'avoir jamais quitté le pays depuis son arrivée. Il s'est livré à un trafic de stupéfiants à tout le moins entre 2016 et 2019. La durée de son séjour en Suisse est certes longue, mais sa portée doit être relativisée puisqu'elle n'a jamais été autorisée. L'appelant y a vécu durant six ans sous le coup d'une décision de renvoi et dans l'illégalité, s'adonnant de plus à un trafic de stupéfiants pour subvenir à ses besoins. Cette attitude, qui démontre son manque de respect de l'autorité et des lois, ne saurait être prise en compte en sa faveur, son long séjour en Suisse étant la conséquence d'un comportement illicite, et non d'une tolérance particulière des autorités, il ne peut donc pas être retenu dans l'appréciation des conditions du prononcé d'une expulsion.</w:t>
      </w:r>
    </w:p>
    <w:p>
      <w:r>
        <w:t>- 24/28 - P/13971/2019 L'appelant ne s'est pas intégré en Suisse et, du fait de son statut administratif, n'a jamais eu d'activité professionnelle déclarée. Il n'a pas de domicile fixe et affirme loger chez des amis. De surcroît, aucun membre de sa famille ne réside en Suisse, étant précisé que l'existence d'une fille à Fribourg n'est nullement démontrée, étant relevé qu'il ne l'a au demeurant pas reconnue et refusé de donner l'identité de sa mère. Partant, cette information, qui ne peut pas être vérifiée, ne sera pas retenue. L'intérêt public au renvoi de l'appelant est prépondérant, au regard de la gravité des infractions présentement sanctionnées et du risque de récidive découlant du statut administratif de l'appelant, qui l'empêche de facto de gagner sa vie en toute légalité. Il est encore relevé que l'appelant fait déjà l'objet d'une interdiction d'entrée en Suisse en vigueur jusqu'au 24 octobre 2023, à laquelle il doit en tout état de cause se conformer. Au vu de ce qui précède, l'expulsion prononcée par le Tribunal de police, dont la durée correspond au minimum légal, doit être confirmée. 6. Les motifs ayant conduit le premier juge à prononcer, par ordonnance séparée OTDP/1639/2019 du 22 août 2019, le maintien de A______, appelant, en détention pour des motifs de sûreté sont toujours d'actualité, de sorte que la mesure sera reconduite mutatis mutandis (ATF 139 IV 277 consid. 2.2 à 2.3). 7. 7.1. L'appelant, qui succombe, supportera les frais de la procédure envers l'État (art. 428 CPP).</w:t>
      </w:r>
    </w:p>
    <w:p>
      <w:r>
        <w:t>7.2. Il n'y a pas lieu de revoir la répartition des frais de première instance dans la mesure où le jugement du Tribunal de police est intégralement confirmé. 8. Par identité de motifs, l'appelant ne saurait prétendre à une quelconque indemnité fondée sur l'art. 429 al. 1 let. c CPP. 9. 9.1.1. Selon l'art. 135 al. 1 CPP, le défenseur d'office ou le conseil juridique gratuit (cf. art. 138 al. 1 CPP) est indemnisé conformément au tarif des avocats du canton du for du procès. L'art. 16 du règlement sur l'assistance juridique du 28 juillet 2010 (RAJ ; E 2 05.04) dispose que l'indemnité, en matière pénale, est calculée selon le tarif horaire suivant, débours de l'étude inclus : avocat stagiaire CHF 110.- (let. a) ; collaborateur CHF 150.- (let. b) ; chef d'étude CHF 200.- (let. c). En cas d'assujettissement, l'équivalent de la TVA est versé en sus.</w:t>
      </w:r>
    </w:p>
    <w:p>
      <w:r>
        <w:t>9.1.2. 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9.1.3. Il est admis que l'activité consacrée aux conférences, audiences et autres actes de la procédure soit forfaitairement majorée de 20% jusqu'à 30 heures de travail</w:t>
      </w:r>
    </w:p>
    <w:p>
      <w:r>
        <w:t>- 25/28 - P/13971/2019 décomptées depuis l'ouverture de la procédure,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t>9.2 En l’occurrence, l’état de frais produit par le conseil de l’appelant paraît adéquat et conforme aux dispositions et principes qui précèdent, de sorte qu’il sera admis sans en reprendre le détail.</w:t>
      </w:r>
    </w:p>
    <w:p>
      <w:r>
        <w:t>En conclusion, l'indemnité sera arrêtée à CHF 2'073.20 correspondant à 8h45 heures d'activité au tarif de CHF 200.-/heure (CHF 1'750.-), plus la majoration forfaitaire de 10% (compte tenu de l'activité indemnisée en première instance ; CHF 175.-) et l'équivalent de la TVA au taux de 7.7% en CHF 148.20. * * * * *</w:t>
      </w:r>
    </w:p>
    <w:p>
      <w:r>
        <w:t>- 26/28 - P/13971/2019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