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AARP/19/2015 vom 6. Januar 2015</w:t>
      </w:r>
    </w:p>
    <w:p>
      <w:r>
        <w:t>GE Cour de justice, 2015-01-06, FR</w:t>
      </w:r>
    </w:p>
    <w:p>
      <w:r>
        <w:rPr>
          <w:b/>
        </w:rPr>
        <w:t xml:space="preserve">Quelle: </w:t>
      </w:r>
      <w:r>
        <w:t>https://mcp.opencaselaw.ch/entscheid/ge_gerichte_AARP_19_2015</w:t>
      </w:r>
    </w:p>
    <w:p>
      <w:r>
        <w:t>FR: GE_GERICHTE AARP/19/2015 du 6 janvier 2015</w:t>
      </w:r>
    </w:p>
    <w:p>
      <w:r>
        <w:t>IT: GE_GERICHTE AARP/19/2015 del 6 gennaio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- 7/14 - P/555/2013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2.2.1 L'art. 286 al. 1 CP prévoit que celui qui aura empêché une autorité, un membre d'une autorité ou un fonctionnaire d'accomplir un acte entrant dans ses fonctions sera puni d'une peine pécuniaire de 30 jours-amende au plus.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L'infraction se distingue tant de celle prévue à l'art. 285 CP, en ce que l'auteur ne recourt ni à la violence ni à la menace, que de celle visée à l'art. 292 CP, car une simple désobéissance ne suffit pas. Le seul fait d'exprimer son désaccord à l'endroit d'un acte entrepris par un fonctionnaire, mais sans l'entraver, ne suffit pas (ATF 105 IV 48 consid. 3 p. 49). L'art. 286 CP n'est pas applicable si ce n'est pas l'acte officiel qui est rendu plus difficile, mais seulement le résultat escompté, par exemple en prévenant les automobilistes d'un contrôle radar (ATF 104 IV 288 consid. 3b p. 291, ATF 103 IV 186 consid. 4/5 p. 188).</w:t>
      </w:r>
    </w:p>
    <w:p>
      <w:r>
        <w:t>- 8/14 - P/555/2013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vol. II, 3e éd., 2010, n. 13 ad art. 286 CP).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consid. 2.2.2). L'infraction réprimée à l'art. 286 CP requiert l'intention; le dol éventuel suffit. 2.2.2 A teneur de l'art. 17 de la loi sur la police du 26 octobre 1957 (LPol ; RSGE F 105), les fonctionnaires de police ont le droit d'exiger de toute personne qu'ils interpellent dans l'exercice de leur fonction, qu'elle justifie de son identité (al. 1). Si la personne n'est pas en mesure de le faire et qu'un contrôle supplémentaire est nécessaire, elle peut être conduite dans un poste ou un bureau de police pour y être identifiée (al. 2). Cette identification doit être menée sans délai et une fois cette formalité accomplie, la personne doit quitter immédiatement les locaux de police (al. 3). Appelé à se prononcer sur la constitutionnalité de l'art. 17 al. 1 LPol, le Tribunal fédéral a considéré que les organes de police ne sont pas habilités à interpeller sans raison aucune et dans quelque circonstance que ce soit n'importe quel quidam déambulant sur la voie publique. (…) L'interpellation de police doit répondre à des raisons objectives minimales, telles l'existence d'une situation troublée, la présence de l'intéressé dans le voisinage de lieux où vient de se commettre une infraction, sa ressemblance avec une personne recherchée, son insertion dans un groupe d'individus dont il y a lieu de penser, à partir d'indices si faibles soient-ils, que l'un ou l'autre se trouverait dans une situation illégale impliquant une intervention policière (ATF 109 Ia 146 consid. 4b p. 150/ 151; cf. Mémorial des séances du Grand Conseil, séance du</w:t>
      </w:r>
    </w:p>
    <w:p>
      <w:r>
        <w:rPr>
          <w:b/>
        </w:rPr>
        <w:t>E. 2.3</w:t>
      </w:r>
    </w:p>
    <w:p>
      <w:r>
        <w:t>En l'espèce, il est reproché à l'appelant d'avoir refusé de présenter ses papiers d'identité et de se coucher au sol. Les évènements incriminés se sont déroulés en deux temps, dont le premier volet a trait au contrôle d'identité proprement dit. A suivre les intimés, l'appelant s'était opposé verbalement au contrôle de son identité, avait refusé d'obtempérer à l'ordre de les suivre au poste et avait fermement affirmé son refus en le verbalisant. L'appelant soutient quant à lui qu'il ne s'était pas opposé au contrôle, mais à l'unique choix qui lui était donné de présenter une carte d'identité ou de se coucher au sol. Que l'on retienne la version des intimés ou de l'appelant, force est de constater qu'à ce stade le comportement de l'appelant n'était pas suffisamment répréhensible pour fonder sa culpabilité du chef de l'art. 286 CP. Les circonstances ayant conduit à l'escalade de violence qui s'en est suivie restent obscures, les trois protagonistes invoquant trois motifs différents à la bousculade survenue entre l'appelant et l'intimé B______. Pour l'appelant, la situation avait dérapé lorsque celui-là l'avait poussé afin qu'il obtempère à l'ordre de se coucher au sol. Pour ce dernier, l'appelant était devenu menaçant lorsqu'il avait appris les raisons du contrôle. Enfin, pour l'intimé A______, la situation avait dégénéré lorsque son collègue avait sorti son bâton tactique et que lui-même avait saisi l'appelant par le bras. Il ressort en tous les cas de ces explications que le contrôle d'identité, soit l'acte officiel à la base de l'interpellation de l'appelant, n'était pas le motif ayant conduit ce dernier à s'opposer physiquement aux intimés. Ce n'est ainsi pas le contrôle d'identité qui a été rendu plus difficile, mais les actes des intimés pour amener l'appelant au sol, injonction pour le moins inhabituelle, au vu de la jurisprudence susmentionnée, dans le cadre d'un simple contrôle. Il n'appartient toutefois pas à la juridiction d'appel de se déterminer sur ce volet des faits, qui concernait la procédure ouverte du chef d'abus d'autorité. Au demeurant, les faits à l'origine de l'altercation entre les intimés et l'appelant ne sont pas établis. Les déclarations des parties ne permettent pas de déterminer la source exacte du conflit, pas plus que l'initiateur de celui-ci ou la responsabilité de l'un ou l'autre des protagonistes. Tout au plus doit-on observer que chaque camp a agi sans faire preuve de la souplesse nécessaire. Les forces de l'ordre, singulièrement</w:t>
      </w:r>
    </w:p>
    <w:p>
      <w:r>
        <w:t>- 10/14 - P/555/2013 le gendarme B______, en insistant pour un contrôle d'identité au poste de police comme solution exclusive et l'appelant en ne cherchant pas à faire tomber la tension en se légitimant, à tout le moins oralement. Comme relevé par l'intimé A______, la situation était extrêmement tendue et il a suffi d'une "étincelle" pour que celle-ci dégénère. Ce même gendarme a lui-même admis que l'appelant n'avait à aucun moment cherché à le frapper directement. Faute d'indices convergents permettant de retenir que l'appelant en serait venu aux mains pour se soustraire au contrôle d'identité, le doute doit lui profiter. Au vu de ce qui précède, il n'est pas établi que l'appelant s'est opposé au contrôle d'identité autrement que verbalement et qu'il aurait entravé l'accomplissement de l'acte officiel auquel il devait se conformer, les actes de violence ayant suivi s'inscrivant dans son refus de se soumettre à l'ordre de se coucher au sol dont la légitimité n'est pas du ressort de la juridiction d'appel. Il doit ainsi être acquitté du chef d'infraction à l'art. 286 CP.</w:t>
      </w:r>
    </w:p>
    <w:p>
      <w:r>
        <w:rPr>
          <w:b/>
        </w:rPr>
        <w:t>E. 3</w:t>
      </w:r>
    </w:p>
    <w:p>
      <w:r>
        <w:t>juin 1982, p. 1914/1915). De même, le Tribunal fédéral a précisé que les organes de police devraient faire preuve de souplesse, les individus invités à s'identifier pouvant le faire de la manière la plus variée. L'absence de documents pouvant tenir lieu de preuve d'identité ne suffit cependant pas à la mise en œuvre de l'art. 17 al. 2 LPol. Les fonctionnaires de police doivent en effet, dans cette hypothèse, poser à l'intéressé les questions adéquates et vérifier au besoin ses allégations en utilisant, si</w:t>
      </w:r>
    </w:p>
    <w:p>
      <w:r>
        <w:t>- 9/14 - P/555/2013 nécessaire, les moyens techniques à leur disposition (contacts par radio avec le central de la police ou avec le Contrôle de l'habitant disponibles jour et nuit, etc.). La conduite dans un poste de police n'intervient ainsi qu'à titre subsidiaire et revêt un caractère exceptionnel (Mémorial des séances du Grand Conseil, session de juin 1982, p. 1915). On peut certes concevoir des situations dans lesquelles un contrôle d'identité sur place n'est pas réalisable pour des raisons qui tiennent, entre autres, au comportement de l'interpellé ou à une tension ambiante particulière. Il est clair que, dans de telles hypothèses, un transfert au poste de police répond à l'intérêt public et n'est pas disproportionné (ATF 109 Ia 146 consid. 5a in fine p. 153).</w:t>
      </w:r>
    </w:p>
    <w:p>
      <w:r>
        <w:rPr>
          <w:b/>
        </w:rPr>
        <w:t>E. 3.1</w:t>
      </w:r>
    </w:p>
    <w:p>
      <w:r>
        <w:t>A teneur de l'article 429 CPP, le prévenu acquitté totalement ou en partie a droit à une indemnité pour les dépenses occasionnées par l'exercice raisonnable de ses droits de procédure (let. a), pour le dommage économique subi au titre de sa participation obligatoire à la procédure pénale (let. b) ainsi qu'à une réparation du tort moral subi en raison d'une atteinte particulièrement grave à sa personnalité, notamment en cas de privation de liberté (let. c). L'indemnisation pour frais de défense, au sens de l'art. 429 al. 1 let. a CPP, vise les frais de la défense de choix, ceux de la défense d'office relevant des frais de procédure en vertu de l'art. 422 al. 2 let. a CPP (ATF 138 IV 205 consid. 1 p. 206 ; arrêt du Tribunal fédéral 6B_144/2012 du 16 août 2012 consid. 1.2 ; M. NIGGLI / M. HEER / H. WIPRÄCHTIGER, Schweizerische Strafprozessordnung / Schweizerische Jugendstrafprozessordnung, Basler Kommentar StPO/JStPO, Bâle 2011, n. 12 ad art. 429 ; ACPR/41/2012 du 30 janvier 2012).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Une arrestation de plus de 3 heures constitue une détention avant jugement qui peut donner lieu à indemnisation. Il convient toutefois de ne pas tenir compte de la durée d'un éventuel interrogatoire formel dans le décompte des heures, seul étant déterminante la période pendant laquelle la personne est retenue à la disposition des autorités (ATF 139 IV 243 = SJ 2014 I 161). Le tort moral est d'abord calculé sur la base d'une indemnité journalière, dont le montant généralement admis par la Chambre pénale d'appel et de révision de la Cour de justice est de CHF 100.- (cf. notamment AARP/5/20112 du 13 janvier 2012 ; AARP/218/11 du 20 décembre 2011</w:t>
      </w:r>
    </w:p>
    <w:p>
      <w:r>
        <w:t>- 11/14 - P/555/2013 et AARP/161/2011 du 7 novembre 2011), alors que certains commentateurs proposent de le fixer à CHF 200.- par jour sur la base d'arrêts non publiés du Tribunal fédéral (arrêts du Tribunal fédéral 6B_745/2009 du 12 novembre 2009 consid. 7.1, 6B_215/2007 du 2 mai 2008 consid. 6 et 8G.12/2001 du 19 septembre 2001 consid. 6b/bb ; A. KUHN / Y. JEANNERET (éds), Commentaire romand : Code de procédure pénale suisse, Bâle 2011, n. 48 ad art. 429).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op. cit., n. 48 ad art. 429). La preuve de l'existence du dommage, son ampleur et sa relation de causalité adéquate avec la poursuite pénale introduite à tort incombent au requérant (arrêt du Tribunal fédéral 6B_595/2007 du 11 mars 2008 consid. 2.2). 3.2.1 En l'espèce, l'appelant, qui est acquitté des faits qui lui étaient reprochés, a un droit à être indemnisé en application de l'art. 429 CPP. Au titre du tort moral (art. 429 al. 1 let. c CPP), il revendique le paiement d'un montant de CHF 3'000.-. Force est de constater que l'indemnité sollicitée est pour le moins excessive au regard de la brièveté de la détention injustifiée subie. Il ressort en effet du dossier que l'appelant a passé une nuit en détention, puisqu'il a été arrêté le 12 janvier 2013 à 18h11, interrogé de 19h42 à 21h34, puis le lendemain de 11h50 à 12h20, heure où sa relaxe a été ordonnée par le Ministère public. Conformément à la jurisprudence susmentionnée, laquelle prescrit de ne pas tenir compte de la durée d'un éventuel interrogatoire formel dans le décompte des heures, l'appelant n'a passé que quelques heures en détention et n'a pas fait valoir de traumatisme particulier de ce chef ni la moindre circonstance particulière justifiant qu'il soit indemnisé au-delà de la norme admise de CHF 100.-. Une indemnité pour tort moral ne se justifie que dans cette mesure limitée, l'appelant n'invoquant au surplus aucune perte de gain. 3.2.2 Il n'appartient pas à la présente juridiction de statuer sur le sort d'éventuels frais médicaux, dans la mesure où la compétence de se déterminer sur cette question appartenait à l'autorité saisie de la procédure ouverte du chef de lésions corporelles simples et d'abus d'autorité. Au vu de ce qui précède, seule une indemnisation limitée à CHF 100.- sera versée à l'appelant.</w:t>
      </w:r>
    </w:p>
    <w:p>
      <w:r>
        <w:t>- 12/14 - P/555/2013 3.2.3 L'activité déployée par celui qui était encore l'avocat de choix de l'appelant est de deux ordres. Une partie de ses tâches a été dévolue à la présente cause et une autre partie à la défense des intérêts de l'appelant dans la cause où il était partie plaignante à l'égard des deux agents de police. Les tâches consacrées à cet aspect du dossier, soit les contacts avec le Département de la sécurité et de l'Economie (DES), totalisent, selon la note de frais et honoraires présentées par le conseil de l'appelant, une heure et demie entre le 13 février et le 21 février 2013. Ces honoraires ne sont pas imputables à la présente cause et ne seront par conséquent pas indemnisés. Reste pour la période précédant l'appel un total de 21 heures et demie consacrées à la défense de l'appelant, ce qui apparaît conforme à ses besoins eu égard aux circonstances. Les honoraires du conseil de l'appelant, à raison de CHF 350.- l'heure, seront ainsi rémunérés à hauteur de CHF 7'525.-, auxquels s'ajoute la TVA (CHF 602.-).</w:t>
      </w:r>
    </w:p>
    <w:p>
      <w:r>
        <w:rPr>
          <w:b/>
        </w:rPr>
        <w:t>E. 3.3</w:t>
      </w:r>
    </w:p>
    <w:p>
      <w:r>
        <w:t>En revanche, l'appelant sera débouté de sa revendication relative au remboursement de l'émolument de jugement de première instance dès lors que, par le présent arrêt, les frais de première instance sont laissés à la charge de l'Etat (art. 426 al. 1 et 428 CPP, cf. infra ch. 4). 3.4.1 Les frais imputables à l'assistance gratuite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w:t>
      </w:r>
    </w:p>
    <w:p>
      <w:r>
        <w:rPr>
          <w:b/>
        </w:rPr>
        <w:t>E. 6</w:t>
      </w:r>
    </w:p>
    <w:p>
      <w:r>
        <w:t>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n'est compétente, au sens de l'art. 135 al. 2 CPP, que pour statuer sur l'activité postérieure à sa saisine. En l'espèce, la date à partir de laquelle la défense d'office du conseil de l'appelant prend effet est le 13 novembre 2014, ce qui exclut de prendre en compte l'activité antérieure. Celle-ci, constituée de cinq heures répertoriées entre le 10 mars et le 13 novembre 2014, est de toute façon composée de prestations incluses dans le forfait courriers et téléphones tandis que la déclaration d'appel ne doit pas être motivée au sens des exigences de l'art. 399 al. 3 CPP, comme cela a d'ailleurs été rappelé dans l'ordonnance présidentielle du 21 août 2014. Ces prestations n'auraient ainsi pas été rémunérées en tout état.</w:t>
      </w:r>
    </w:p>
    <w:p>
      <w:r>
        <w:t>- 13/14 - P/555/2013 3.4.2 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 acte de la procédure est allouée pour les démarches diverses, tels la rédaction de courriers ou notes, les entretiens téléphoniques et la lecture de communications, pièces et décisions, sous réserve d'exceptions possibles, charge à l'avocat d'en justifier. 3.4.3 En l'espèce, la préparation de l'audience d'appel sera estimée à deux heures, étant précisé que le double avait été consacré par le conseil de l'appelant à la préparation de celle de première instance. L'audience d'appel ayant duré une heure et demie, les honoraires seront au total fixés à CHF 700.-. Il convient d'ajouter à ce montant l'indemnisation forfaitaire de 20 %, soit CHF 140.-, ainsi que la TVA à hauteur de CHF 67.20. 4. Selon les art. 426 al. 1 et 428 al. 1 CPP, les frais de la procédure de première instance - que la Cour est tenue de revoir lorsqu'elle rend une nouvelle décision (art. 428 al. 3 CPP) - et d'appel sont mis à la charge des parties dans la mesure où elles succombent. Vu l'issue de la procédure, ces frais seront laissés à la charge de l'État. * * * * *</w:t>
      </w:r>
    </w:p>
    <w:p>
      <w:r>
        <w:t>- 14/14 - P/555/2013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