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AARP/199/2013 vom 6. Mai 2013</w:t>
      </w:r>
    </w:p>
    <w:p>
      <w:r>
        <w:t>GE Cour de justice, 2013-05-06, FR</w:t>
      </w:r>
    </w:p>
    <w:p>
      <w:r>
        <w:rPr>
          <w:b/>
        </w:rPr>
        <w:t xml:space="preserve">Quelle: </w:t>
      </w:r>
      <w:r>
        <w:t>https://mcp.opencaselaw.ch/entscheid/ge_gerichte_AARP_199_2013</w:t>
      </w:r>
    </w:p>
    <w:p>
      <w:r>
        <w:t>FR: GE_GERICHTE AARP/199/2013 du 6 mai 2013</w:t>
      </w:r>
    </w:p>
    <w:p>
      <w:r>
        <w:t>IT: GE_GERICHTE AARP/199/2013 del 6 maggio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- 8/12 - P/405/2011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En l'espèce, il n'y a pas de place pour un doute sérieux permettant de prononcer l'acquittement de A______. B______ n'a aucun intérêt personnel à accabler A______, qu'il ne connaissait pas avant le 22 décembre 2010. La description vestimentaire qu'il en fait est d'autant plus probante qu'elle intervient avant le visionnement à la police des séquences filmées, dont il n'a pas eu à subir l'influence. Celles-ci ne font que confirmer ses dires antérieurs, notamment le fait que l'agresseur portait un vêtement à capuche qui n'était en tout cas pas en cuir ou une doudoune. A ces caractéristiques vestimentaires s'ajoute le fait que la victime a été frappée par la démarche et le profil de l'individu, ce qui constitue un signe déterminant. Face à ces éléments, la différence de poids ne saurait être décisive, pas plus que la couleur plus ou moins foncée du vêtement que A______ portait. L'attitude sur place de A______ puis son cheminement en voiture après son départ constituent des éléments à charge supplémentaires. Il ressort des séquences filmées que A______ a porté un intérêt soutenu aux allées et venues de B______ à partir de 04h30, obervant le comportement de sa future victime avec attention. Est significatif à cet égard le fait que A______ fasse mine de quitter les lieux pour revenir par la suite, au moment où il se rend compte que B______ revient en salle après avoir encaissé ses jetons. De la même manière, le fait de fumer une cigarette dans la voiture n'a pas de sens, sinon celui lui permettant d'attendre l'arrivée de sa future victime qu'il sait être porteuse d'une grosse somme d'argent. Si A______ avait été stressé comme il le plaide, rien ne l'empêchait de prendre l'air et de faire quelques pas en fumant une cigarette. Il ne lui était ni indispensable ni utile de faire des détours pour rejoindre le quartier des Pâquis. La connaissance du point de chute de B______ lui était sans doute beaucoup plus utile que de se balader dans les rues de Genève sans but logique. Le déroulement en deux temps de l'agression constitue un autre élément à charge. Certes, un auteur de brigandage ne reste en principe pas sur les lieux de son forfait à attendre l'intervention des forces de police. Ce constat souffre une exception, par</w:t>
      </w:r>
    </w:p>
    <w:p>
      <w:r>
        <w:t>- 9/12 - P/405/2011 exemple si l'agresseur est frustré de ne pas avoir obtenu ce qu'il souhaitait, comme cela a dû être le cas après la fouille de l'anorak arraché à sa victime. L'agresseur, dont on sait par B______ qu'il était le même, ne peut alors qu'espérer un retour de la victime qui a perdu ses lunettes dans la bagarre. L'interpellation "où est l'argent" témoigne de façon convaincante que le choix de la victime n'est pas lié au hasard, que l'agresseur savait que sa victime en avait. Dans ce contexte, l'argument consistant à nier un tel scénario en arguant qu'une victime ne serait pas assez sotte pour revenir sur les lieux de l'agression sans vider ses poches ne tient pas compte du traumatisme subi après un violent brigandage, qui peut lui faire adopter un comportement non rationnel. Reste un dernier élément à charge de nature financière, lié à l'absence de tout prélèvement dans les 15 jours qui ont suivi le brigandage. Ce fait ne manque pas d'être troublant, ce d'autant qu'entre le 22 décembre 2010 et le 5 janvier 2011, A______ a continué à jouer au casino. Que pendant cette unique période il n'ait réalisé que des gains n'est pas crédible, surtout que l'on sait d'expérience que la chance tourne, même au cours d'une seule soirée, ainsi que l'expérience vécue par B______ le 21 décembre 2010 le démontre. C'est a fortiori le cas sur 15 jours. Les explications fournies par A______ sur les revenus sur lesquels il a pu compter durant cette période ne sont guère probantes. Il se contredit même en cherchant à justifier ses achats de jetons à hauteur de CHF 10'000.- le 5 janvier 2011. S'il avait réalisé des gains comme il l'affirme, il n'aurait eu nul besoin de compter sur des rentrées d'argent provenant de ses économies et de l'argent de son père. Il est beaucoup plus logique de penser qu'un fait nouveau est intervenu à cette date, à savoir que la source d'argent provenant du brigandage s'était alors tarie. A______ objecte l'absence de toute preuve matérielle découlant de la perquisition effectuée à son domicile. C'est oublier que celle-ci est intervenue plus de trois semaines après les faits, ce qui lui a laissé du temps pour écarter cas échéant tout élément compromettant. Plus intéressant est l'argument relatif à l'absence de toutes traces ADN de son profil sur les vêtements de B______. Il est notoire que tous les individus ne laissent pas les mêmes traces dans les mêmes circonstances. Certaines personnes sont d'excellents marqueurs et d'autres non, en fonction de caractéristiques personnelles qui échappent à la logique. Cet élément ne saurait ainsi faire naître un doute sérieux. Enfin, le bon parcours estudiantin de A______ ou les caractéristiques de sa personnalité respectueuse d'autrui ne sauraient être des obstacles dirimants à une déviance passagère. Au vu de ce qui précède, sa culpabilité sera confirmée.</w:t>
      </w:r>
    </w:p>
    <w:p>
      <w:r>
        <w:t>- 10/12 - P/405/2011</w:t>
      </w:r>
    </w:p>
    <w:p>
      <w:r>
        <w:rPr>
          <w:b/>
        </w:rPr>
        <w:t>E. 3</w:t>
      </w:r>
    </w:p>
    <w:p>
      <w:r>
        <w:t>A______, qui succombe, sera condamné aux frais de la cause (art. 428 al. 1 CPP), qui comprennent un émolument de procédure de CHF 2'000.- (art. 14 al. 1 let. e du règlement fixant le tarif des frais en matière pénale, E 4 10.03). * * * * *</w:t>
      </w:r>
    </w:p>
    <w:p>
      <w:r>
        <w:t>- 11/12 - P/405/2011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