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AARP/197/2022 vom 16. Juni 2022</w:t>
      </w:r>
    </w:p>
    <w:p>
      <w:r>
        <w:t>GE Cour de justice, 2022-06-16, FR</w:t>
      </w:r>
    </w:p>
    <w:p>
      <w:r>
        <w:rPr>
          <w:b/>
        </w:rPr>
        <w:t xml:space="preserve">Quelle: </w:t>
      </w:r>
      <w:r>
        <w:t>https://mcp.opencaselaw.ch/entscheid/ge_gerichte_AARP_197_2022</w:t>
      </w:r>
    </w:p>
    <w:p>
      <w:r>
        <w:t>FR: GE_GERICHTE AARP/197/2022 du 16 juin 2022</w:t>
      </w:r>
    </w:p>
    <w:p>
      <w:r>
        <w:t>IT: GE_GERICHTE AARP/197/2022 del 16 giugno 2022</w:t>
      </w:r>
    </w:p>
    <w:p>
      <w:pPr>
        <w:pStyle w:val="Heading2"/>
      </w:pPr>
      <w:r>
        <w:t>Erwägungen</w:t>
      </w:r>
    </w:p>
    <w:p>
      <w:r>
        <w:rPr>
          <w:b/>
        </w:rPr>
        <w:t>E. 1</w:t>
      </w:r>
    </w:p>
    <w:p>
      <w:r>
        <w:t>Les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w:t>
      </w:r>
    </w:p>
    <w:p>
      <w:r>
        <w:t>- 14/31 - P/14351/2017 des libertés fondamentales (CEDH), sur le plan interne, par les art. 32 al. 1 de la Constitution fédérale de la Confédération suisse (Cst.) et 10 al. 3 CPP,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2.2.1. Il est établi, sur la base des déclarations concordantes des parties et des témoins, qu'une médiation avait été prévue le 18 mai 2017 au salon de coiffure de</w:t>
      </w:r>
    </w:p>
    <w:p>
      <w:r>
        <w:t>- 15/31 - P/14351/2017 A______ entre celui-ci et l'intimé. Me I______, avocat de l'employeur de la partie plaignante, accompagnait ce dernier et C______ était également présent. Il est également établi qu'à cette occasion, une altercation, nécessitant l'intervention de la police, a eu lieu entre les appelants et l'intimé, lors de laquelle ce dernier a été blessé. La version des parties diffère pour le surplus, de sorte qu'il sied d'apprécier leur crédibilité. Les déclarations des appelants ont été fluctuantes. A______ a donné une première version, peu plausible, pour la modifier ensuite en fonction des éléments auxquels il était confronté, revenant même sur ses dires, et ce jusqu'en appel. À titre d'exemple, il a tout d'abord nié qu'une médiation avait été organisée, avant de l'admettre devant le MP, puis a contesté avoir été informé de ce rendez-vous devant le TCO, pour enfin préciser, en appel, qu'il en était conscient mais qu'il n'avait pas eu le temps de l'annuler. Il a admis avoir demandé à son frère et Me I______ de quitter les lieux avant d'expliquer que c'était l'intimé qui souhaitait être seul avec lui. Il a affirmé que son frère avait mordu l'intimé avant de reconnaître avoir commis ce geste. Il en va de même de C______, lequel a tout d'abord déclaré ne pas savoir où il était le soir des faits avant d'admettre sa présence au salon de coiffure avec son frère. Tout au long de la procédure, il a cherché à le protéger, répétant même ses propos. En effet, il a nié avoir su que des négociations étaient en cours et qu'une médiation était prévue, se reprenant jusqu'en audience d'appel sur ce dernier point, avant de concéder en avoir été informé. Il s'est en outre corrigé à plusieurs reprises sur l'identité de celui qui lui avait demandé de quitter le salon de coiffure. Il n'a certes pas nié que son frère avait été impliqué dans l'altercation, reconnaissant même que celui-ci avait donné certains coups et était revenu mordre son antagoniste. Cela étant, vu les éléments au dossier, notamment les constats médicaux produits, il ne pouvait guère le contester. On peine aussi à comprendre pourquoi C______ a décidé de retourner au salon de coiffure aussi vite si ce n'était pour participer à un guet-apens dans la mesure où il n'a pas pu expliquer son intention. Par ailleurs, les appelants n'ont même pas su tenir une version similaire des faits. A______ a expliqué que l'intimé l'avait soulevé et jeté au sol de façon à heurter un miroir, qui s'était brisé, pour ensuite indiquer que c'était en réalité son frère qui avait subi cet acte, alors que C______ a déclaré s'être blessé en tentant de séparer les protagonistes, puis précisé qu'il avait lui-même poussé l'intimé, lequel était tombé au sol en emportant le miroir avec lui. L'intimé a quant à lui livré un récit détaillé, sans varier dans ses propos, étant relevé qu'il a tout d'abord précisé avoir tenté de maîtriser les appelants lorsque l'un d'eux s'était emparé d'une lame, de sorte que, contrairement à ce que soutiennent les appelants, ses déclarations ne sont pas contradictoires. Certes, l'intimé a admis n'avoir pas rédigé la plainte pénale. Cela étant, lors de ses auditions subséquentes, il</w:t>
      </w:r>
    </w:p>
    <w:p>
      <w:r>
        <w:t>- 16/31 - P/14351/2017 en a confirmé la teneur, sans se contredire, de sorte que sa version reste crédible. La situation n'est de surcroît guère différente des multiples cas où des plaintes qui, bien que signées par les parties plaignantes, sont rédigées par leur avocat. La thèse selon laquelle les employeurs de l'intimé auraient inventé ce récit est incompatible avec la quantité de détails donnés, puis confirmés avec constance. Si ces derniers avaient souhaité s'en prendre à A______, ils auraient eu intérêt à laisser leur employé porter plainte contre lui au lieu de s'efforcer de négocier un accord. On ne voit d'ailleurs pas pourquoi ils auraient averti la police de cette entrevue tout en cautionnant que leur employé s'en prenne physiquement à un ancien client de leur établissement. En agissant de la sorte, ils prenaient le risque d'une nouvelle plainte pénale. Rien dans le dossier n'indique d'ailleurs que l'intimé aurait eu un intérêt quelconque à porter à tort plainte contre les appelants, ce d'autant plus s'il avait été l'initiateur de cette altercation. Contrairement à ce que prétendent les appelants, des éléments objectifs au dossier viennent corroborer la version de l'intimé. Le récit de ce dernier se recoupe en effet avec celui de Me I______ dès lors que ce témoin a confirmé que la porte était verrouillée, qu'il a vu à travers la vitrine que les appelants retenaient l'intimé, alors qu'il criait à l'aide, et entendu un bruit s'apparentant à des maillons de chaîne qui s'entrechoquaient. À cet égard, il est tout à fait plausible que les bouts, voire les maillons de celle-ci, puissent se heurter en mouvement, et ce même si la chaîne était enroulée autour de la main de C______. Me I______ était également présent lorsque l'intimé, qui présentait une coupure au bras, a mentionné aux policiers l'utilisation d'objets. Il a aussi constaté, en partant, que les appelants avaient un sourire et un regard noir lorsqu'ils lui avaient dit : "Maintenant tu peux leur dire que l'affaire est terminée". La thèse du faux témoignage ne convainc pas compte tenu notamment de la profession du témoin, et ce même s'il avait été employé par les frères K/L______ pour superviser la médiation. Rien ne permet de douter de sa crédibilité dans la mesure où Me I______ connaissait les deux parties et que les déclarations des autres protagonistes renforcent son témoignage. Ses propos sont d'ailleurs modérés dès lors qu'il n'a jamais affirmé avoir vu les objets et leur utilisation comme arme. Il ressort tant du courriel de K______, adressé au policier le lendemain des faits, que du certificat médical du plaignant, que celui-ci s'est plaint d'avoir été piégé et frappé à coups de chaîne. Par ailleurs, tant L______ que P______ ont déclaré que A______ attendait en personne des excuses de l'intimé. L______ a aussi confirmé les propos tenus par A______ lorsqu'ils quittaient le salon, soit : "Maintenant, c'est fini". Le policier Q______ a quant à lui expliqué que l'intimé lui avait dit avoir été agressé avec un objet de type chaîne. Ces deux derniers protagonistes ont aussi attesté des blessures du plaignant et de son état de panique, ce qui appuie davantage la thèse du guet-apens que la version des appelants.</w:t>
      </w:r>
    </w:p>
    <w:p>
      <w:r>
        <w:t>- 17/31 - P/14351/2017 Les lésions du plaignant établies par certificat médical, soit celles notamment au niveau de la tête, tendent également à confirmer son récit, étant relevé que l'absence d'indication de compatibilité avec les dires du patient est irrelevant ; cette mention ne figure d'ailleurs pas non plus sur l'attestation remise par A______. Certes, les lésions décrites ne sont objectivement pas graves. Cela étant, dès lors que l'intimé a expliqué que l'un des appelants avait utilisé la chaîne en l'entourant autour de son poing, les blessures subies sont cohérentes avec les faits décrits, étant rappelé que l'intimé a su se défendre et se protéger en sa qualité d'agent de sécurité. Les photographies produites mettent également en évidence une entaille au bras droit ainsi que des marques sur le crâne en forme de demi-cercle ou de serpentin, susceptibles d'avoir été causées par une lame de rasoir et des maillons de chaîne. L'ensemble de ces éléments confère ainsi aux déclarations de l'intimé une crédibilité accrue. Le fait que les deux objets cités n'aient pas été retrouvés ne suffit pas à décrédibiliser dite version dans la mesure où il est admis qu'il y avait des rasoirs au salon. Le policier Q______ a par ailleurs confirmé qu'il n'avait pu entrer dans les locaux avec ses collègues qu'après un certain temps, ce qui laissait l'opportunité à tout intéressé de s'en débarrasser, notamment en les jetant par une fenêtre. Comme déjà développé, le retour de l'appelant C______ au salon alors qu'il était censé rester avec Me I______ ne s'explique, en l'absence d'une quelconque motivation plausible, que par la thèse du guet-apens. 2.2.2. Ainsi, il est établi que, le 18 mai 2017, après la fermeture de son salon de coiffure, A______ a reçu, avec son frère et avec son accord, lors d'une séance de médiation, l'intimé et Me I______. Il a ensuite demandé à être seul avec l'intimé de sorte que l'avocat et C______ ont quitté les lieux. Quelques minutes plus tard, ce dernier a laissé son interlocuteur au café pour retourner au salon, muni d'une chaîne, a verrouillé la porte dernière lui et a ordonné au plaignant de s'asseoir afin d'être attaché, torturé et tué. L'intimé n'ayant pas obtempéré, C______ a enroulé la chaîne autour de son poing dans le but de le frapper. En tentant de fuir, l'intimé est tombé à terre, entrainant dans sa chute les appelants ainsi que plusieurs objets, dont un rasoir coupe-choux. L'intimé s'est alors défendu des coups qu'il recevait sur tout son corps et a essayé de maîtriser ses antagonistes. A______ a toutefois réussi à saisir un rasoir tombé au sol et à le poser sur la gorge du plaignant, en l'intimant de cesser de se débattre, à défaut il l'égorgeait, ce que l'intimé a fait. A______ et C______ l'ont alors frappé à de nombreuses reprises à coups de pied, poing et chaîne sur tout le corps mais principalement à la tête, l'empêchant ainsi de s'enfuir, et lui causant diverses lésions, telles que décrites dans le certificat médical et attestées par les photographies produites. Lors de l'altercation, C______ a également serré les testicules de l'intimé et A______ lui a mordu le bras.</w:t>
      </w:r>
    </w:p>
    <w:p>
      <w:r>
        <w:t>- 18/31 - P/14351/2017</w:t>
      </w:r>
    </w:p>
    <w:p>
      <w:r>
        <w:rPr>
          <w:b/>
        </w:rPr>
        <w:t>E. 3</w:t>
      </w:r>
    </w:p>
    <w:p>
      <w:r>
        <w:t>3.1.1. L'art. 134 CP réprime le comportement de celui qui, notamment, aura participé à une agression dirigée contre une personne au cours de laquelle celle-ci aura subi des lésions corporelles.</w:t>
      </w:r>
    </w:p>
    <w:p>
      <w:r>
        <w:t>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 Pour que les éléments constitutifs de l'agression, infraction de mise en danger abstraite, soient réunis, il faut, notamment, que la personne agressée soit blessée. L'auteur se rend passible d'une peine du seul fait de sa participation ; il suffit ainsi de prouver son intention d'y participer, sans qu'il ne soit nécessaire d'établir qu'il ait voulu provoquer des lésions corporelles (ATF 135 IV 152 consid. 2.1.1 ; arrêts du Tribunal fédéral 6B_402/2019 du 27 août 2019 consid. 2.2 ; 6B_157/2016 du 8 août 2016 consid. 6.3 précisant que la participation peut être fournie de diverses manières [physique, psychologique ou verbale]). En effet, si le législateur n'a pas souhaité poursuivre pénalement les participants à une simple bagarre, celle-ci dépasse ce qui doit être toléré lorsqu'une victime est effectivement blessée. Dès lors, la condamnation de l'auteur dépend de la réalisation de conditions qui sont indépendantes de sa volonté et de toute contribution de sa part (arrêt du Tribunal fédéral 6B_101/2014 du 10 novembre 2014 consid. 2.2). En d'autres termes, l'auteur doit participer à l'agression, sans qu'il soit forcément nécessaire qu'il commette des "actes d'exécution" et sans qu'il ait voulu ou accepté qu'une personne soit blessée (arrêt du Tribunal fédéral 6B_448/2012 du 22 novembre 2012 consid. 2.1). 3.1.2.1.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w:t>
      </w:r>
    </w:p>
    <w:p>
      <w:r>
        <w:t>- 19/31 - P/14351/2017 3.1.2.2. L'art. 123 ch. 2 al. 1 CP prévoit que la poursuite a lieu d'office dans le cas aggravé, où l'auteur fait usage d'une arme ou d'un objet dangereux.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titres d'exemples, le Tribunal fédéral a retenu la qualification d'objet dangereux pour une chope de bière lancée à la tête d'autrui (ATF 101 IV 285) ou un verre à cocktail d'une dizaine de centimètres (arrêt du Tribunal fédéral 6B_590/2014 du 12 mars 2015 consid. 1.3), mais aussi pour un patin à glace lorsque l'auteur s'en sert pour frapper avec force la jambe d'une personne (ATF 111 IV 123).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 3.1.3.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envisageable que si l'infraction en principe absorbante est effectivement sanctionnée (arrêt du Tribunal fédéral 6B_373/2011 du 14 novembre 2011 consid. 3.4). S'il peut être établi que l'un des agresseurs, intentionnellement ou par négligence, cause des lésions corporelles, l'infraction visée par les art. 122 ss CP absorbe, en ce qui le concerne, l'agression au sens de l'art. 134 CP. En effet, l'infraction de lésions corporelles saisit et réprime déjà la mise en danger effective de la personne blessée lors de l'agression. Le concours entre l'art. 134 CP et les art. 111 ss ou 122 ss CP ne peut être envisagé que si, ensuite d'une agression, une personne déterminée autre que</w:t>
      </w:r>
    </w:p>
    <w:p>
      <w:r>
        <w:t>- 20/31 - P/14351/2017 celle qui a été tuée ou blessée a été effectivement mise en danger ou, lorsque la personne, qui a été blessée lors de l'agression, n'a subi que des lésions corporelles simples, mais que la mise en danger créée a dépassé en intensité le résultat intervenu (ATF 135 IV 152 consid. 2.1 ; arrêt du Tribunal fédéral 6B_1257/2020 du 12 avril 2021 consid. 2.1). 3.1.4. Selon l'art.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Sur le plan subjectif, il faut que l'auteur ait agi intentionnellement, c'est-à-dire qu'il ait voulu contraindre la victime à adopter le comportement visé en étant conscient de l'illicéité de son comportement ; le dol éventuel suffit (ATF 120 IV 17 consid. 2c). 3.1.5. Est un coauteur celui qui collabore, intentionnellement et de manière déterminante, avec d'autres personnes à la décision de commettre une infraction, à son organisation ou à son exécution, au point d'apparaître comme l'un des participants principaux. Il n'est toutefois pas nécessaire que le coauteur ait effectivement participé à l'exécution de l'acte ou qu'il ait pu l'influencer. La coactivité suppose une décision commune, qui peut résulter d'actes concluants, le dol éventuel quant au résultat étant suffisant. Le coauteur participe à la conception du projet, auquel il peut adhérer ultérieurement, y compris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- 21/31 - P/14351/2017</w:t>
      </w:r>
    </w:p>
    <w:p>
      <w:r>
        <w:rPr>
          <w:b/>
        </w:rPr>
        <w:t>E. 3.2</w:t>
      </w:r>
    </w:p>
    <w:p>
      <w:r>
        <w:t>Le comportement des prévenus répond à la qualification juridique de lésions corporelles simples aggravées, vu la nature des lésions subies par la victime et les objets utilisés, tant en qualité d'auteur direct des coups que chacun a donnés que de coauteur de ceux infligés par l'autre. Il en va de même de la qualification juridique de l'agression dès lors que les prévenus ont attaqué unilatéralement l'intimé, lequel a été blessé et s'est défendu de manière proportionnée à l'attaque subie. Dans la mesure où A______ a également posé la lame de rasoir sous la gorge du plaignant, l'intimant de cesser de se débattre, ce que ce dernier a fait, l'infraction de contrainte peut aussi être retenue, en concours parfait, les prévenus ayant à nouveau agi en coactivité dès lors que C______ a pleinement accepté les agissements de son frère. La question du concours entre les lésions corporelles infligées et l'agression se pose. Si le cas est limite, il sera retenu qu'on ne peut supposer que la mise en danger de la victime a dépassé en intensité le résultat survenu. Certes, les appelants ont utilisé une chaîne métallique comme une arme. Toutefois celle-ci n'ayant pas été retrouvée, rien ne permet d'affirmer avec certitude que sa composition était telle qu'elle était de nature à infliger des lésions plus importantes que celles constatées. Il en va de même de la lame de rasoir dans la mesure où l'intimé a expliqué que A______ s'en était saisi seulement après être tombé au sol et ne l'avait utilisée que pour le menacer en la lui posant sous la gorge et pour lui "taillader le bras droit", ce qui ressort du constat médical sous la forme d'une griffure et/ou éraflure ainsi que des photographies produites qui mettent en évidence une entaille au bras droit. Les blessures présentées par l'intimé sont nombreuses mais ne relèvent pas du cas grave, de sorte qu'elles apparaissent être la conséquence raisonnablement envisageable et envisagée des coups portés sur son corps, dont ni le nombre exact n'a pu être établi, ni la durée de l'altercation. Rien ne permet partant d'affirmer que l'intimé a concrètement couru le risque d'être blessé plus grièvement qu'il ne l'a été, voire que sa vie aurait été mise en danger. D'ailleurs, l'acte d'accusation décrit des lésions corporelles en coactivité par référence à celles effectivement subies par l'intimé, non une mise en danger d'une intensité supérieure. Les appels des prévenus sont donc partiellement admis ; A______ et C______ sont reconnus coupables de lésions corporelles simples aggravées et de contrainte, en plus de la violation du droit à la marque, que C______ ne conteste plus.</w:t>
      </w:r>
    </w:p>
    <w:p>
      <w:r>
        <w:rPr>
          <w:b/>
        </w:rPr>
        <w:t>E. 4.1</w:t>
      </w:r>
    </w:p>
    <w:p>
      <w:r>
        <w:t>Les infractions de contrainte (art. 181 CP) et de lésions corporelles simples commises au moyen d'un objet dangereux (art. 123 ch. 1 et 2 al. 2 CP) sont passibles d'une peine privative de liberté de trois ans au plus ou d'une peine pécuniaire.</w:t>
      </w:r>
    </w:p>
    <w:p>
      <w:r>
        <w:rPr>
          <w:b/>
        </w:rPr>
        <w:t>E. 4.2</w:t>
      </w:r>
    </w:p>
    <w:p>
      <w:r>
        <w:t>Au regard de la peine qui sera fixée ci-après, le nouveau droit des sanctions, entré en vigueur après la commission des faits, n'est pas plus favorable aux prévenus, de sorte qu'il convient d'appliquer l'ancien droit (art. 2 al. 2 CP).</w:t>
      </w:r>
    </w:p>
    <w:p>
      <w:r>
        <w:t>- 22/31 - P/14351/2017 4.3.1.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4.3.2. Les critères applicables au choix de la peine sont les mêmes que ceux qui fondent la mesure de celle-ci ; l'opportunité d'une sanction déterminée joue un rôle important et les décisions sur ces points exercent l'une sur l'autre une influence réciproque (ATF 120 IV 67 consid. 2b). Pour déterminer le genre de peine devant sanctionner une infraction au regard de l'art. 47 CP, il convient ainsi notamment de tenir compte de la culpabilité de l'auteur (ATF 144 IV 217 consid. 3.3.1). Le système même du CP implique que la culpabilité de l'auteur ait une influence sur le genre de la peine prononcée, puisque les infractions les plus graves doivent en principe être sanctionnées par une peine privative de liberté et non par une peine pécuniaire (arrêt du Tribunal fédéral 6B_1308/2020 du 5 mai 2021 consid. 3.2 destiné à publication). 4.3.3.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4.3.4. La durée de la peine privative de liberté est en règle générale de six mois au moins et de 20 ans au plus (art. 40 aCP).</w:t>
      </w:r>
    </w:p>
    <w:p>
      <w:r>
        <w:t>- 23/31 - P/14351/2017 4.3.5. Le juge suspend l'exécution notamment d'une peine pécuniaire ou d'une peine privative de liberté de deux ans au plus lorsqu'une peine ferme ne paraît pas nécessaire pour détourner l'auteur d'autres crimes ou délits (art. 42 al. 1 aCP et art. 42 al. 1 nCP).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4.3.6. Aux termes de l'art. 44 al. 1 aCP, s'il suspend totalement ou partiellement l'exécution d'une peine, le juge impartit au condamné un délai d'épreuve de deux à cinq ans. 4.4.1. La faute des deux appelants est lourde. Ils ont prétexté une médiation pour imposer un guet-apens à l'intimé. Ils ont agi avec préméditation ce qui démontre leur détermination sournoise. Ils s'en sont pris à l'intégrité physique et psychique de l'intimé, en le menaçant et en lui assenant de nombreux coups dans le but de parvenir à leurs fins. Ils ont utilisé des objets dangereux, soit une chaîne métallique et une lame de rasoir. Si A______ apparaît comme plus impliqué dans la préparation de l'embuscade, C______ y a adhéré sans réserve, participant même activement à l'altercation en se procurant la chaîne métallique, de sorte que leur faute est équivalente. Leur volonté criminelle est intense dans la mesure où ils ont continué leur projet même après que leur victime se fût débattue et eut réussi à prendre le dessus. Ce n'est que l'intervention d'un tiers qui a mis fin à leurs actes et permis à l'intimé de fuir. Leur mobile est égoïste et imputable à leur impulsivité, l'attaque subie par l'intimé ayant été mise en place dans le seul but de satisfaire un désir de vengeance, alors même qu'une procédure pénale avait été initiée de sorte que la justice était saisie des griefs de A______. Leur collaboration a été médiocre. Confrontés aux éléments de preuves, ils ont modifié leur version au cours de la procédure et rejeté la faute sur l'intimé. Si les déclarations de C______ ont été plus constantes, il a néanmoins tenté de minimiser son implication et nié jusqu'en appel les infractions reprochées, y compris celle à la LPM, l'appel n'ayant été retiré sur ce point qu'à l'ouverture des débats. Cette persévérance, doublée de leur tendance à la victimisation, dénote une prise de conscience nulle. Leur situation personnelle ne justifie en rien leurs actes.</w:t>
      </w:r>
    </w:p>
    <w:p>
      <w:r>
        <w:t>- 24/31 - P/14351/2017 Aucun des deux prévenus n'a d'antécédent, ce qui a un effet neutre sur la peine. Leur responsabilité est pleine et entière ; aucun motif justificatif n'entre en considération. Il y a concours d'infractions passibles du même genre de peine, ce qui aggrave nécessairement celle-ci. 4.4.2. La quotité de la sanction adéquate pour l'infraction de lésions corporelles simples aggravées impose le choix d'une peine privative de liberté. Il convient d'opter pour le même genre de peine pour la contrainte. Les deux infractions sont en effet étroitement liées, procédant de la même motivation et du même contexte, la faute est lourde et la prise de conscience nulle de sorte qu'un signal clair s'impose. Vu l'ensemble des éléments, il se justifie de prononcer une peine privative de liberté de 24 mois pour chacun des prévenus. En effet, la sanction de l'infraction abstraitement la plus grave (art. 123 ch. 1 et 2 al. 1 CP) doit être fixée à 20 mois, augmentée de 4 mois afin de tenir compte de l'infraction de contrainte (peine hypothétique : 6 mois). Tel que l'ont retenu les premiers juges, le pronostic quant au comportement futur des appelants n'apparaît pas défavorable de sorte que le sursis leur sera accordé. Il se justifie, par ailleurs, de fixer un délai d'épreuve de trois ans. La condamnation de C______ à l'infraction à la LPM sera par ailleurs confirmée, vu le retrait de l'appel. Le dispositif sera réformé dans la mesure qui précède, ce qui emporte une admission partielle des appels de A______ et C______.</w:t>
      </w:r>
    </w:p>
    <w:p>
      <w:r>
        <w:rPr>
          <w:b/>
        </w:rPr>
        <w:t>E. 5</w:t>
      </w:r>
    </w:p>
    <w:p>
      <w:r>
        <w:t>5.1.1. Selon l'art. 66a al. 1 CP, en vigueur depuis le 1er octobre 2016, le juge expulse de Suisse l'étranger qui est condamné pour une infraction listée à cet endroit, quelle que soit la quotité de la peine prononcée à son encontre, pour une durée de cinq à quinze ans.</w:t>
      </w:r>
    </w:p>
    <w:p>
      <w:r>
        <w:t>5.1.2. 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t>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w:t>
      </w:r>
    </w:p>
    <w:p>
      <w:r>
        <w:t>- 25/31 - P/14351/2017 (M. BUSSLINGER / P. UEBERSAX, Härtefallklausel und migrationsrechtliche Auswirkungen der Landesverweisung, cahier spécial, Plaidoyer 5/2016, p. 98).</w:t>
      </w:r>
    </w:p>
    <w:p>
      <w:r>
        <w:t>5.2.1. La contrainte et les lésions corporelles simples aggravées n'étant pas soumises à l'expulsion obligatoire, les conditions de l'art. 66a CP ne sont pas réunies. La question d'une expulsion obligatoire n'entre dès lors plus en considération, étant rappelé que seule celle de C______ était encore litigieuse. 5.2.2. Au vu du fait que la femme et la fille mineure de C______ sont détentrices d'un permis B et résident à Genève, que l'appelant n'est plus au bénéfice de l'aide sociale en Suisse mais y exerce une profession à 100% depuis environ une année et qu'il n'a aucun antécédent, il sera renoncé à son expulsion facultative au sens de l'art. 66a bis CP. À raison, le MP ne conteste pas que le prononcé d'une telle mesure à l'encontre de A______ ne se justifierait pas, même en cas d'application de l'art. 66a CP, la clause de rigueur étant réalisée.</w:t>
      </w:r>
    </w:p>
    <w:p>
      <w:r>
        <w:rPr>
          <w:b/>
        </w:rPr>
        <w:t>E. 6.1</w:t>
      </w:r>
    </w:p>
    <w:p>
      <w:r>
        <w:t>Selon l'art. 122 al. 1 CPP, en qualité de partie plaignante, le lésé peut faire valoir des conclusions civiles déduites de l'infraction par adhésion à la procédure pénale.</w:t>
      </w:r>
    </w:p>
    <w:p>
      <w:r>
        <w:t>Les conclusions civiles consistent notamment en la réparation du tort moral (art. 47 et 49 CO) dirigées contre le prévenu. La preuve du dommage incombe au demandeur (art. 42 al. 1 CO).</w:t>
      </w:r>
    </w:p>
    <w:p>
      <w:r>
        <w:rPr>
          <w:b/>
        </w:rPr>
        <w:t>E. 6.2</w:t>
      </w:r>
    </w:p>
    <w:p>
      <w:r>
        <w:t>En l'occurrence, les premiers juges ont condamné les appelants à verser à l'intimé la somme de CHF 3'000.- en réparation de son tort moral. La culpabilité en lien avec les faits en cause, directement en rapport avec l'atteinte subie, étant confirmée, la condamnation à la réparation du tort moral le sera également, tout comme son montant, non contesté par les appelants, compte tenu de la mise en place du guet-apens, de la violence des coups portés, au moyen notamment d'une chaîne et d'une lame de rasoir, ainsi que des lésions physiques et psychiques subies par le plaignant, lequel a craint pour sa vie.</w:t>
      </w:r>
    </w:p>
    <w:p>
      <w:r>
        <w:rPr>
          <w:b/>
        </w:rPr>
        <w:t>E. 7.1</w:t>
      </w:r>
    </w:p>
    <w:p>
      <w:r>
        <w:t>Les appelants obtenant une absorption de l'agression par les lésions corporelles simples aggravées, impliquant, une diminution de peine et une annulation de l'expulsion pour l'un d'eux, les frais de la procédure d'appel, qui comprennent un émolument d'arrêt de CHF 2'000.-, seront mis à leur charge à hauteur de 80 %, le solde étant laissé à la charge de l'État.</w:t>
      </w:r>
    </w:p>
    <w:p>
      <w:r>
        <w:rPr>
          <w:b/>
        </w:rPr>
        <w:t>E. 7.2</w:t>
      </w:r>
    </w:p>
    <w:p>
      <w:r>
        <w:t>Dans la mesure où les appelants demeurent condamnés pour tous les faits reprochés, il n'y a pas lieu de revoir la répartition des frais de première instance, dont ils devront s'acquitter dans leur totalité, à raison de moitié chacun (art. 426 al. 1 CPP).</w:t>
      </w:r>
    </w:p>
    <w:p>
      <w:r>
        <w:t>- 26/31 - P/14351/2017</w:t>
      </w:r>
    </w:p>
    <w:p>
      <w:r>
        <w:rPr>
          <w:b/>
        </w:rPr>
        <w:t>E. 8</w:t>
      </w:r>
    </w:p>
    <w:p>
      <w:r>
        <w:t>Aucune indemnité fondée sur l'art. 429 CPP ne sera allouée aux appelants, ceux-ci n'y ayant pas conclu alors qu'ils y avaient été invités.</w:t>
      </w:r>
    </w:p>
    <w:p>
      <w:r>
        <w:rPr>
          <w:b/>
        </w:rPr>
        <w:t>E. 9</w:t>
      </w:r>
    </w:p>
    <w:p>
      <w:r>
        <w:t>Les prétentions civiles de G______ en lien avec les dépenses obligatoires occasionnées par la procédure de première instance, formulées pour la première fois en appel, sont irrecevables, car tardives (art. 81 al. 4 let. b, 328ss et 433 al. 2 CPP ; arrêt du Tribunal fédéral 6B_965/2013 du 3 décembre 2013 consid. 3.3). Celles pour la procédure d'appel ne sont pas justifiées et seront rejetées dans la mesure où aucune activité n'a été déployée au-delà de la réception des actes de procédure.</w:t>
      </w:r>
    </w:p>
    <w:p>
      <w:r>
        <w:rPr>
          <w:b/>
        </w:rPr>
        <w:t>E. 10.1</w:t>
      </w:r>
    </w:p>
    <w:p>
      <w:r>
        <w:t>Selon l'art. 135 al. 1 CPP, le défenseur d'office ou le conseil juridique gratuit (cf. art. 138 al. 1 CPP) est indemnisé conformément au tarif du canton du for du procès. S'agissant d'une affaire soumise à la juridiction cantonale genevoise, l'art. 16 du règlement sur l'assistance juridique (RAJ) s'applique. Cette dernière disposition prescrit que l'indemnité, en matière pénale, est calculée selon le tarif horaire de CHF 150.- pour un collaborateur (let. b) et de CHF 200.- pour un chef d'étude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10.2</w:t>
      </w:r>
    </w:p>
    <w:p>
      <w:r>
        <w:t>L'activité consacrée aux conférences, audiences et autres actes de la procédure est majorée de 10% au-delà de 30 heures de travail, décomptées depuis l'ouverture de la procédure (arrêt du Tribunal fédéral 6B_838/2015 du 25 juillet 2016 consid. 3.5.2 ; voir aussi les décisions de la Cour des plaintes du Tribunal pénal fédéral BB.2016.34 du 21 octobre 2016 consid. 4.1 et 4.2 et BB.2015.85 du 12 avril 2016 consid. 3.5.2 et 3.5.3).</w:t>
      </w:r>
    </w:p>
    <w:p>
      <w:r>
        <w:t>- 27/31 - P/14351/2017</w:t>
      </w:r>
    </w:p>
    <w:p>
      <w:r>
        <w:rPr>
          <w:b/>
        </w:rPr>
        <w:t>E. 10.3</w:t>
      </w:r>
    </w:p>
    <w:p>
      <w:r>
        <w:t>Le travail consistant en des recherches juridiques, sauf questions particulièrement pointues, n'est pas indemnisé, l'État ne devant pas assumer la formation de l'avocat stagiaire, laquelle incombe à son maître de stage, ou la formation continue de l'avocat breveté (AARP/147/2016 du 17 mars 2016 consid. 7.3 ; AARP/302/2013 du 14 juin 2013 ; AARP/267/2013 du 7 juin 2013).</w:t>
      </w:r>
    </w:p>
    <w:p>
      <w:r>
        <w:rPr>
          <w:b/>
        </w:rPr>
        <w:t>E. 10.4</w:t>
      </w:r>
    </w:p>
    <w:p>
      <w:r>
        <w:t>La rémunération forfaitaire de la vacation aller/retour au et du Palais de justice est arrêtée à CHF 75.- pour les collaborateurs et à CHF 100.- pour les chefs d'étude, dite rémunération étant allouée d'office par la juridiction d'appel pour les débats devant elle.</w:t>
      </w:r>
    </w:p>
    <w:p>
      <w:r>
        <w:rPr>
          <w:b/>
        </w:rPr>
        <w:t>E. 10.5</w:t>
      </w:r>
    </w:p>
    <w:p>
      <w:r>
        <w:t>En application des principes qui précèdent, il convient de retrancher de l'état de frais de Me B______ : - deux heures d'entretien avec le client, 60 minutes étant suffisant pour l'orienter sur l'opportunité d'un appel et la suite de la procédure ainsi que pour recueillir d'éventuelles informations pertinentes complémentaires et préparer son audition ; - le temps nécessaire au travail sur le dossier en vue de l'audience sera ramené à quatre heures, activité devant suffire à un chef d'étude, supposé rapide et expéditif, qui connaît bien le dossier ; - le temps consacré aux recherches juridiques effectuées par la stagiaire.</w:t>
      </w:r>
    </w:p>
    <w:p>
      <w:r>
        <w:t>Sa rémunération sera donc arrêtée à CHF 2'378.45 correspondant à 9h35 d'activité au taux horaire de CHF 200.- (CHF 1'916.70), plus le forfait de 10 % (CHF 191.70), la vacation (CHF 100.-) et la TVA (CHF 170.05).</w:t>
      </w:r>
    </w:p>
    <w:p>
      <w:r>
        <w:rPr>
          <w:b/>
        </w:rPr>
        <w:t>E. 10.6</w:t>
      </w:r>
    </w:p>
    <w:p>
      <w:r>
        <w:t>Considéré globalement, l'état de frais produit par Me F______, conseil juridique gratuit de E______, satisfait les exigences légales et jurisprudentielles régissant l'assistance judiciaire gratuite en matière pénale.</w:t>
      </w:r>
    </w:p>
    <w:p>
      <w:r>
        <w:t>Sa rémunération sera partant arrêtée à CHF 1'353.75 correspondant à 7h45 d'activité au taux horaire de CHF 150.- (CHF 1'162.50), plus le forfait de 10 % (CHF 116.25) et la vacation (CHF 75.-), la TVA n'étant pas due compte tenu du domicile étranger de l'intimé. * * * * *</w:t>
      </w:r>
    </w:p>
    <w:p>
      <w:r>
        <w:t>- 28/31 - P/14351/2017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