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AARP/197/2020 vom 8. Juni 2020</w:t>
      </w:r>
    </w:p>
    <w:p>
      <w:r>
        <w:t>GE Cour de justice, 2020-06-08, FR</w:t>
      </w:r>
    </w:p>
    <w:p>
      <w:r>
        <w:rPr>
          <w:b/>
        </w:rPr>
        <w:t xml:space="preserve">Quelle: </w:t>
      </w:r>
      <w:r>
        <w:t>https://mcp.opencaselaw.ch/entscheid/ge_gerichte_AARP_197_2020</w:t>
      </w:r>
    </w:p>
    <w:p>
      <w:r>
        <w:t>FR: GE_GERICHTE AARP/197/2020 du 8 juin 2020</w:t>
      </w:r>
    </w:p>
    <w:p>
      <w:r>
        <w:t>IT: GE_GERICHTE AARP/197/2020 del 8 giugno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2.2.1. L'art. 217 al. 1 CP punit, sur plainte, celui qui n'aura pas fourni les aliments ou les subsides qu'il doit en vertu du droit de la famille, quoi qu'il en eût les moyens ou pût les avoir. Le droit de porter plainte appartient aussi aux autorités et aux services désignés par les cantons. Il sera exercé compte tenu des intérêts de la famille (art. 217 al. 2 CP). A Genève, en vertu de l’art. 4 LARPA, B______ revêt la qualité de mandataire des bénéficiaires auprès des autorités de poursuites et de faillite. Il a qualité pour porter plainte en matière de violation d’obligations d’entretien.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En revanche,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1er octobre 2013 consid. 1.1). Il incombe en effet à celui qui doit assurer l'entretien de</w:t>
      </w:r>
    </w:p>
    <w:p>
      <w:r>
        <w:t>- 9/17 - P/2807/2018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Aussi, se met fautivement dans l’incapacité de payer une personne travaillant en qualité d’indépendant qui refuse de passer à un statut de salarié et qui, si elle le faisait, gagnerait sensiblement plus d’argent ou celui qui opte pour une occupation instable et qui, du même coup, renonce sciemment à exploiter d’autres ressources (M. DUPUIS / L. MOREILLON / C. PIGUET / S. BERGER / M. MAZOU / V. RODIGARI [éds], Code pénal - Petit commentaire, 2e éd., Bâle 2017, n. 18 ad art. 217). Sur le plan subjectif, l'infraction réprimée par l'art. 217 CP doit être commise intentionnellement. Le dol éventuel suffit (ATF 70 IV 166). L'intention de ne pas payer le montant dû sera en règle générale donnée si l'obligation a été fixée dans un jugement ou une convention car elle sera alors connue du débiteur (ATF 128 IV 86 consid. 2b). 2.2.2. La capacité économique de l'accusé de verser la contribution d'entretien se détermine par analogie avec le droit des poursuites relatif au minimum vital (art. 93 LP ; ATF 121 IV 272 consid. 3c). Le débiteur ne peut pas choisir de payer d'autres dettes en dehors de ce qui entre dans la détermination de son minimum vital (arrêt du Tribunal fédéral 6S_208/2004 du 19 juillet 2004 consid. 2.1). 2.2.3. Selon les normes d'insaisissabilité mises en œuvre par l'art. 93 LP dans le canton de Genève, le montant de base mensuel pour une personne vivant seule s'élevait, entre 2014 et 2018, à CHF 1'200.-. 2.2.4. La dette alimentaire est prioritaire à toutes les autres (ACJP/161/2007 consid. 2.1), ce qui résulte de plusieurs éléments, notamment du caractère pénal du défaut d'extinction de cette dette (art. 217 CP ici examiné), de sa priorité dans la collocation en droit des poursuites et de sa spécificité par rapport à l'entame éventuelle du minimum vital (ATF 6S_113/2007 du 12 juin 2007, consid. 3.3; ATF 123 III 332). 2.3.1. En l'espèce, il n’est pas contesté que l’appelant est débiteur d’une contribution d’entretien mensuelle de CHF 1'900.- en faveur de son ex-épouse depuis 1999 et qu’il n’a versé aucun montant à ce titre entre les 1er janvier 2017 et 31 octobre 2018, accumulant ainsi un arriéré de CHF 37'600.- pour cette période.</w:t>
      </w:r>
    </w:p>
    <w:p>
      <w:r>
        <w:t>- 10/17 - P/2807/2018 B______ a dûment déposé plaintes pénales à l’encontre de l’appelant de ce fait, en relevant que l’arriéré total dû se chiffrait, selon les derniers calculs, à CHF 488'471.55 et en le poussant à stopper une telle "hémorragie" par tous les moyens, dont un accord portant sur des paiements partiels. L’appelant prétend ne pas avoir eu les moyens de s’acquitter de la pension due, ni pu les avoir, sans faute de sa part. Force est toutefois de constater que ses explications ne peuvent être suivies. En effet, la pension litigieuse a été de prime abord fixée d’accord entre l’appelant et son ex-épouse, avant d’être homologuée par le juge civil, car elle tenait équitablement compte des besoins et des ressources des parties. Or, l’appelant n’a livré aucune explication solide quant à un changement notable dans sa situation financière ou personnelle depuis lors. Il n’a d’ailleurs entrepris aucune démarche en modification du jugement de divorce, estimant ses chances de l’obtenir faibles, et entretient au contraire une certaine opacité au sujet de sa situation financière. Selon l’ordonnance pénale rendue à son encontre le 23 décembre 2016, soit peu avant le début de la période pénale visée par la présente procédure, l’appelant avait notamment fait état de revenus de l’ordre de CHF 5'000.-, alors que des retraits d’argent et des paiements pour des montants plus importants ressortent des relevés bancaires qu’il a produits pour l’année 2016. L’appelant a par ailleurs affirmé avoir dépensé l’entier du montant de CHF 100'000.- qu’il avait en compte à cette période pour des frais administratifs et notariaux, sans les documenter, alors qu’il lui eût été aisé de le faire. Par ailleurs, il lui revenait de convenir d’un partage de ces frais avec son frère. Pour 2017, l’appelant a persisté à ne donner aucun renseignement précis sur sa situation financière, mais a indiqué ne pas avoir été empêché de travailler. Aussi, au vu de ces éléments, rien ne permet de retenir que l’appelant ne fût pas en mesure de s’acquitter, à tout le moins partiellement, de la contribution d’entretien due jusqu’ici. En ce qui concerne 2018, l’appelant a fourni un décompte, faisant état d’un revenu mensuel moyen de CHF 4'000.-, correspondant au salaire annuel de CHF 40'000.- mentionné en premier lieu et non à celui de CHF 28'000.- évoqué par la suite, pour des charges de l’ordre de CHF 3'600.-. Il a ainsi lui-même admis qu’il pouvait affecter, à tout le moins, le solde disponible de CHF 350.- à l’obligation d’entretien due. Or, l’appelant n’a pas effectué le moindre versement honorant l'accord passé, sans justification valable. Entendu devant la CPAR à sa demande, le Dr B______ n’a confirmé un arrêt de travail total de l’appelant qu’entre les 12 mars et 30 avril 2018, soit durant un mois et demi, sur l’ensemble de la période pénale litigieuse de 22 mois. L’appelant ne saurait ainsi être suivi lorsqu’il prétend avoir été empêché de travailler durant la moitié de l’année 2018 et n’avoir par conséquent pas réalisé de revenus suffisants pour s’acquitter de son obligation. Quand bien même les revenus de l’appelant auraient été insuffisants pour assumer la contribution d’entretien fixée, il appartenait à celui-ci de rechercher une autre</w:t>
      </w:r>
    </w:p>
    <w:p>
      <w:r>
        <w:t>- 11/17 - P/2807/2018 activité, voire un emploi en qualité de salarié, même à temps partiel, pour compléter ses revenus d'indépendant. En dernier recours, l’appelant avait également la possibilité de procéder à la réalisation de son bien immobilier et d’affecter sa quote- part au paiement des montants dus. Contrairement à ce qu’il prétend, il avait le pouvoir d’influer sur le calendrier de cette vente, puisqu’il était lui-même chargé de trouver l’acheteur et que, de son propre aveu, son frère lui avait délégué tout pouvoir à ce sujet. Cela étant, il n’apparaît pas avoir entrepris de démarches particulières à cet effet, se contentant d’évoquer deux offres qui seraient "au frigo", depuis sa condamnation en 2016, où la question de cette vente avait déjà été abordée. 2.3.2. Aussi, contrairement à ce que soutient l’appelant, il résulte de cette appréciation des preuves qu’il avait les ressources nécessaires pour remplir, à tout le moins partiellement, son obligation d’entretien, ou qu’il aurait pu les avoir, pour la période en question, étant rappelé que la dette alimentaire est prioritaire aux autres. L’appelant a agi intentionnellement. Tel que l’a relevé B______, il persiste sciemment à ne rien entreprendre pour stopper "l’hémorragie", alors que l’arriéré total de pensions dû s’élève maintenant à CHF 488'471.55, soit à un montant déjà conséquent au regard de sa quote-part prévisible sur l’immeuble séquestré. L’appelant ne saurait être suivi lorsqu’il justifie sa passivité par le coût élevé des démarches judiciaires visant à solliciter une modification de la contribution d’entretien due. La provision de CHF 5'000.- qu’on lui aurait demandé pour ce faire est en effet sans commune mesure avec l’arriéré généré par son indifférence. Il en va de même de son argument quant à la complexité d’une telle démarche, inconsistant. Partant, le verdict de culpabilité rendu à l’encontre de l’appelant du chef de violation d’une obligation d'entretien au sens de l'art. 217 al. 1 CP, pour la période du 1er janvier 2017 au 31 octobre 2018, ne peut qu’être confirmé.</w:t>
      </w:r>
    </w:p>
    <w:p>
      <w:r>
        <w:rPr>
          <w:b/>
        </w:rPr>
        <w:t>E. 3.1</w:t>
      </w:r>
    </w:p>
    <w:p>
      <w:r>
        <w:t>L’infraction à l’art. 217 al. 1 CP est passible d’une peine privative de liberté de trois ans au plus ou d’une peine pécuniaire. 3.2.1. Le 1er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 3.2.2. En l'occurrence, la période pénale reprochée à l'appelant est à la fois antérieure et postérieure à l'entrée en vigueur du nouveau droit des sanctions. Compte tenu du fait qu'il convient, en l’espèce, d'examiner la question d'un éventuel sursis, l’application du nouveau droit apparaît plus favorable à l'appelant. En effet, dès lors que celui-ci a notamment été condamné le 23 décembre 2016 à une peine pécuniaire de 180 jours-amende, l’art. 42 al. 2 aCP lui apparaît en particulier moins clément que</w:t>
      </w:r>
    </w:p>
    <w:p>
      <w:r>
        <w:t>- 12/17 - P/2807/2018 le nouvel art. 42 al. 2 CP, qui ne vise plus le prononcé antérieur d’une peine pécuniaire.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L'efficacité de la sanction à prononcer est autant décisive pour la détermination de celle-ci que pour en fixer la durée (arrêt du Tribunal fédéral 6B_611/2014 du 9 mars 2015 consid. 4.2). Le juge dispose d'un large pouvoir d'appréciation dans la fixation de la peine (arrêt 6B_835/2018 du 8 novembre 2018 consid. 2.1).</w:t>
      </w:r>
    </w:p>
    <w:p>
      <w:r>
        <w:t>3.3.2.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antécédents judiciaires ne sauraient toutefois conduire à une augmentation massive de la peine, parce que cela reviendrait à condamner une deuxième fois pour des actes déjà jugés (ATF 120 IV 136 consid. 3b p. 145). 3.4.1. Aux termes de l'art. 42 al. 1 CP, le juge suspend en règle générale l'exécution d'une peine pécuniaire ou d'une peine privative de liberté de deux ans au plus lorsqu'une peine ferme ne paraît pas nécessaire pour détourner l'auteur d'autres crimes ou délits.</w:t>
      </w:r>
    </w:p>
    <w:p>
      <w:r>
        <w:t>- 13/17 - P/2807/2018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défavorable. Il prime en cas d'incertitude (ATF 135 IV 180 consid. 2.1 et les références ; ATF 134 IV 140 consid. 4.2 ; arrêts du Tribunal fédéral 6B_1339/2016 du 23 mars 2017 consid. 1.1.1 ; 6B_372/2016 du 22 mars 2017 consid. 4). Le défaut de prise de conscience de la faute peut justifier un pronostic défavorable, car seul celui qui se repent de son acte mérite la confiance que l'on doit pouvoir accorder au condamné bénéficiant du sursis (ATF 82 IV 81 ; arrêts du Tribunal fédéral 6B_953/2017 du 28 mars 2018 consid. 5.2 ; 6B_682/2017 du 11 décembre 2017 consid. 1.1 ; 6B_186/2017 du 5 septembre 2017 consid. 3.1). 3.4.2. Lorsque la peine privative de liberté est d'une durée telle qu'elle permette le choix entre le sursis complet (art. 42 CP) et le sursis partiel (art. 43 CP), soit entre un et deux ans au plus, l'octroi du sursis au sens de l'art. 42 CP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w:t>
      </w:r>
    </w:p>
    <w:p>
      <w:r>
        <w:rPr>
          <w:b/>
        </w:rPr>
        <w:t>E. 3.5</w:t>
      </w:r>
    </w:p>
    <w:p>
      <w:r>
        <w:t>En l'occurrence, la faute de l’appelant est importante. Il a persisté à ne pas s’acquitter, durant près de deux ans, de la contribution d’entretien due à son ex- épouse, pour permettre à celle-ci de subvenir à ses besoins, ce dans la plus grande indifférence et malgré les décisions de justice rendues précédemment à son encontre en raison d’un tel comportement. Il a ainsi agi avec un mobile égoïste et en faisant fi des interdits en vigueur. La collaboration de l’appelant à la procédure n’a pas été bonne. Il a entretenu un certain flou au sujet de sa situation financière, voire a livré des informations contradictoires à ce propos. S’il a finalement émis une proposition de remboursement au SCARPA au cours de la présente procédure, il n’a pas versé le moindre montant pour honorer l’accord que ce service a bien voulu conclure avec lui. Sa prise de conscience est inexistante. Il n’a émis aucun regret, ni n’a fait d’effort pour</w:t>
      </w:r>
    </w:p>
    <w:p>
      <w:r>
        <w:t>- 14/17 - P/2807/2018 démontrer aux autorités qu’il prenait la situation au sérieux, malgré la peine menace encourue. Au contraire, il n’a pas hésité à formuler tout au long de la procédure des promesses et à ne pas les tenir. Sa situation personnelle ne saurait justifier ses agissements. L’appelant a deux antécédents spécifiques, pour lesquels il a été précédemment condamné à 240 heures de travail d’intérêt général et à une peine pécuniaire de 180 jours-amende, sans que ces sanctions n’aient manifestement eu d’effet dissuasif. Aussi, le prononcé d’une peine privative de liberté s’impose à présent. La quotité de 12 mois arrêté par le premier juge apparaît cependant élevée, même en regard de la faute importante de l’appelant et de la nécessité de le détourner d’une récidive supplémentaire. Cette peine sera dès lors ramenée à sept mois, comme l'avait d'ailleurs requis le MP devant le Tribunal. Le pronostic apparaît clairement défavorable au vu de l’indifférence de l’appelant quant à sa situation, ce depuis plusieurs années, ce qui exclut tant l’octroi du sursis que du sursis partiel. Par conséquent, le jugement entrepris sera partiellement modifié.</w:t>
      </w:r>
    </w:p>
    <w:p>
      <w:r>
        <w:rPr>
          <w:b/>
        </w:rPr>
        <w:t>E. 4</w:t>
      </w:r>
    </w:p>
    <w:p>
      <w:r>
        <w:t>L'appelant, qui succombe très largement, supportera ¾ des frais de la procédure envers l'Etat, comprenant en appel un émolument de CHF 1'500.- (art. 428 CPP et art. 14 al. 1 let. e du Règlement fixant le tarif des frais en matière pénale ; E 4 10.03), le solde tant laissé à charge de l'Etat. * * * * *</w:t>
      </w:r>
    </w:p>
    <w:p>
      <w:r>
        <w:t>- 15/17 - P/2807/2018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