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AARP/197/2019 vom 19. Juni 2019</w:t>
      </w:r>
    </w:p>
    <w:p>
      <w:r>
        <w:t>GE Cour de justice, 2019-06-19, FR</w:t>
      </w:r>
    </w:p>
    <w:p>
      <w:r>
        <w:rPr>
          <w:b/>
        </w:rPr>
        <w:t xml:space="preserve">Quelle: </w:t>
      </w:r>
      <w:r>
        <w:t>https://mcp.opencaselaw.ch/entscheid/ge_gerichte_AARP_197_2019</w:t>
      </w:r>
    </w:p>
    <w:p>
      <w:r>
        <w:t>FR: GE_GERICHTE AARP/197/2019 du 19 juin 2019</w:t>
      </w:r>
    </w:p>
    <w:p>
      <w:r>
        <w:t>IT: GE_GERICHTE AARP/197/2019 del 19 giugno 2019</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 103 IV 73 consid. 1) et par les constatations de fait qui n'ont pas été attaquées devant lui ou l'ont été sans succès (ATF 143 IV 214 consid. 5.2.1 ;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En particulier, l'autorité cantonale ne peut, dans son jugement rendu à la suite de l'arrêt de renvoi, aggraver la position juridique de l'unique recourant (ATF 135 III 334 consid. 2 ; 131 III 91 consid. 5.2 ; cf. ATF 143 IV 495 consid. 2.2 ; 6B_618/2011 du 22 mars 2012 consid. 1.3).</w:t>
      </w:r>
    </w:p>
    <w:p>
      <w:r>
        <w:t>- 11/19 - P/13486/2012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 127 I 38 consid. 2a p. 41 ; 124 IV 86 consid. 2a p. 87 s.).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w:t>
      </w:r>
    </w:p>
    <w:p>
      <w:r>
        <w:t>- 12/19 - P/13486/2012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6B_665/2017 du 10 janvier 2018 consid. 1.1).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2.2.1. Commet un abus de confiance au sens de l'art. 138 ch. 1 al. 1 CP celui qui, pour se procurer ou procurer à un tiers un enrichissement illégitime, se sera approprié une chose mobilière appartenant à autrui et qui lui avait été confiée. 2.2.2.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121 IV 25 consid. 1c p. 25; 118 IV 148 consid. 2a p. 151 s. ; arrêt du Tribunal fédéral 6B_382/2017 consid. 4.1). Il n'y a pas d'appropriation si d'emblée l'auteur veut rendre la chose intacte après un acte d'utilisation (ATF 85 IV 17 p. 21 consid. 3 ; arrêt du Tribunal fédéral 6B_382/2017</w:t>
      </w:r>
    </w:p>
    <w:p>
      <w:r>
        <w:t>- 13/19 - P/13486/2012 consid. 4.1 ; B. CORBOZ, Les infractions en droit suisse, vol. I, 3ème éd. 2010, n. 10 ad art. 137 ; A. MACALUSO / L. MOREILLON / N. QUELOZ [éds], Commentaire romand, Code pénal II, vol. II, Partie spéciale : art. 111-392 CP, Bâle 2017, n. 32 ad art. 137 et les références citées). Le refus de restituer une chose ne constitue un acte d'appropriation que lorsque ce comportement exprime la volonté de l'auteur de la garder durablement pour soi (cf. CR CP, n. 29 ad art. 138 ; ATF 114 IV 133 2a = JdT 1990 IV 29 ; arrêt du Tribunal fédéral 6S.416/2004 du 20 janvier 2005 consid. 2.3). Ainsi, le simple fait de continuer à utiliser un véhicule après la fin du contrat de leasing n'est pas toujours suffisant à réaliser l'abus de confiance : il faut encore que d'autres éléments démontrent que le preneur de leasing a la volonté, à tout le moins par dol éventuel, de déposséder durablement le propriétaire (arrêt du Tribunal fédéral 6B_827/2010 du 24 janvier 2011 consid. 5.5 ; A. MACALUSO et al., op. cit., , n. 32 ad art. 137). Il ne suffit pas qu'il la restitue avec retard ou qu'il ne se conforme pas à des conditions posées par l'ayant-droit (ATF 120 IV 276 consid. 2). 2.2.3. Du point de vue subjectif, l'auteur doit avoir agi intentionnellement et dans un dessein d'enrichissement illégitime. Le dessein d'enrichissement peut être réalisé par dol éventuel (ATF 118 IV 27 consid. 2a). Par enrichissement, il faut entendre tout avantage économique (B. CORBOZ, op. cit., n. 14 ad art. 138). Cette dernière condition est remplie lorsque celui qui devait tenir en tout temps le bien confié à disposition de l'ayant droit l'a utilisé à son profit ou au profit d'un tiers sans avoir à tout moment la volonté et la possibilité de le restituer immédiatement (ATF 133 IV 21 consid. 6.1.2 ; 118 IV 27 consid. 3a p. 29 s., 32 consid. 2a). S'il devait le tenir à disposition de l'ayant droit à un moment déterminé ou à l'échéance d'un délai déterminé, il doit avoir eu la volonté et la possibilité de le restituer à ce moment ou à cette échéance (ATF 118 IV 27 consid. 3a). Le dessein d'enrichissement illégitime fait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2.2.4. Aux termes de l'art. 717 du code civil suisse du 10 décembre 1907 (CC - RS 210), lorsque celui qui aliène une chose la retient à un titre spécial, le transfert de la propriété n'est pas opposable aux tiers, s'il a eu pour but de les léser ou d'éluder les règles concernant le gage mobilier (transfert de possession par constitut possessoire). Selon l'art. 884 al. 3 CC, le gage mobilier sous la forme ordinaire du nantissement n'est valable que si le constituant du gage ne garde pas la maîtrise effective de la chose ; la constitution d'un nantissement par constitut possessoire en faveur du constituant n'est dès lors pas possible (ATF 55 II 298 = JdT 1930 I 162, cité par P. STEINAUER, Les droits réels, Vol. II, Berne 2011, n. 2025). Pour contourner</w:t>
      </w:r>
    </w:p>
    <w:p>
      <w:r>
        <w:t>- 14/19 - P/13486/2012 cette difficulté, les parties prévoient parfois que le créancier devient propriétaire de la chose servant de garantie (avec obligation pour celui-ci d'en transférer à nouveau la propriété au débiteur une fois la dette payée), mais laissent la chose en possession dérivée du débiteur à titre spécial (ATF 78 II 207 = JdT 1953 I 139, cités par P. STEINAUER, op. cit., n. 2025). L'art. 717 al. 1 in fine CC vise cette hypothèse. Le transfert de propriété n'est pas opposable aux tiers dans la mesure où les parties visent en réalité non à transférer la propriété mais à garantir une créance que l'acquéreur a contre l'aliénateur (P. STEINAUER, op. cit., n. 2025). Tombe ainsi sous le coup de l'art. 717 CC le contrat par lequel le débiteur transfère la propriété d'une chose au créancier alors que celui-ci s'oblige à en retransférer la propriété au débiteur une fois la dette payée (transfert de propriété fiduciaire aux fins de garantie ; P. STEINAUER, op. cit., n. 2025a ; cf. également ATF 142 III 746).</w:t>
      </w:r>
    </w:p>
    <w:p>
      <w:r>
        <w:rPr>
          <w:b/>
        </w:rPr>
        <w:t>E. 2.3</w:t>
      </w:r>
    </w:p>
    <w:p>
      <w:r>
        <w:t>En l'espèce, la CPAR considère comme établi que D______ a confié le navire J______ à I______ SA à des fins de promotion et de vente entre les printemps 2014 et 2015 (cf. sa plainte et son e-mail du 1er mars 2016, consid. c.a.). Malgré le fait que le bateau lui ait été confié, l'intimé, en sa qualité d'administrateur unique de I______ SA, paraît en avoir disposé comme un propriétaire, s'étant qualifié comme tel notamment devant la police ou devant le Tribunal de police. L'intimé a en particulier cherché à le céder en mars 2015 à G______ et H______, à titre fiduciaire à des fins de garantie (cf. consid. 2.2.4 supra), étant toutefois relevé que la convention de cession d'actions pourrait être entachée d'un vice dans la mesure où le signataire pour le compte de I______ SA n'était apparemment pas habilité à représenter cette société. Il apparait en outre que le navire ne remplissait pas les conditions d'immatriculation listées aux art. 4 et 5 de la loi fédérale sur le registre des bateaux du 28 septembre 1923 (RS 747.11) et qu'il ne devait ainsi pas être inscrit au registre fédéral. Le cas échéant, il devait l'être au registre cantonal (cf. art. 15 al. 2 de la loi fédérale sur la navigation intérieure du 3 octobre 1975 [LNI ; RS 747.201] et la loi sur la navigation dans les eaux genevoises du 17 mars 2006 [RS/GE H 2 05] ainsi que son règlement [H 2 05.01]). Or une telle immatriculation ne paraît pas modifier les règles sur la propriété mobilière ou la constitution d'une hypothèque (cf. la loi sur la navigation dans les eaux genevoises et P. STEINAUER, op. cit., n. 1979 ss). En particulier, aucune inscription dans un registre ne semblait en l'espèce nécessaire pour la validité d'un transfert de propriété ou d'une mise en gage. Quoiqu'il en soit, la condition de la volonté du prévenu de s'approprier durablement ce bateau dans ces circonstances est déjà problématique, dans la mesure où la cession à titre de garantie semble n'avoir été que temporaire et que l'intimé, qui a mené les négociations avec ses cocontractants pour I______ SA, soutient avoir retiré le bateau de la liste des biens cédés à titre de garantie en septembre ou octobre 2015, sans que rien ne puisse le contredire. Cette question sera toutefois laissée ouverte dans la mesure où, en tout état, la condition du dessein d'enrichissement illégitime fait défaut.</w:t>
      </w:r>
    </w:p>
    <w:p>
      <w:r>
        <w:t>- 15/19 - P/13486/2012 En effet, contrairement à ce que soutient le MP dans son mémoire d'appel, l'intimé n'était pas obligé en tout temps de tenir le navire à disposition de D______. Plus, on ignore à quelle date butoir il devait être restitué s'il en était une, ce qui est contredit par le délai initial de six mois mentionné dans le justificatif de D______ du 27 mai 2015, largement dépassé avec l'autorisation des plaignants à lire les termes de leur plainte. À supposer que l'on retienne le 12 avril 2016 comme échéance, date à laquelle D______ a formellement demandé sa restitution par courriel, il faut encore établir si l'intimé, en raison de sa cession à titre de garantie, avait alors la volonté et la possibilité de le restituer. Or à cette date, on ignore si le bateau en question faisait encore partie de ceux cédés à G______ et H______, dans la mesure où la liste des bateaux mis en gage a été modifiée à leur initiative. Le J______ n'apparaissait précisément plus sur la seule liste modifiée versée à la procédure portant la date manuscrite du 27 août 2015. À cet égard, contrairement à ce que soutient le MP, le courrier du 19 janvier 2017 rédigé par le conseil de D______ ne renseigne nullement sur le fait que ledit bateau fût toujours remis en garantie au profit de G______ et H______ en avril 2016. Enfin il est à teneur de dossier hautement probable que I______ SA soit constamment restée en possession du bateau, tombé dans la masse en faillite en mars 2016, preuve en est que D______ l'a revendiqué avec succès, moyennant le versement de CHF 3'000.- (courrier du conseil de D______ du 16 février 2016 et accord du 1er février 2017 entre I______ SA et D______). On ignore en outre si, au moment où l'intimé a cédé ce bateau, en mars 2015, sa société pouvait procéder à son remplacement ou remettre sa contre-valeur, étant au contraire relevé que, lorsque G______ et H______ se sont plaints de ce que des bateaux avaient été vendus ou n'étaient pas la propriété de I______ SA, il a été en mesure d'en proposer d'autres. Ainsi on ne peut établir que l'intimé ait voulu et a fortiori soit parvenu à empêcher la restitution du bateau litigieux à sa propriétaire de sorte qu'il existe un doute insurmontable quant à l'existence d'un dessein de s'enrichir illégitimement. L'ordonnance pénale retient enfin une période pénale entre l'année 2014 et le 30 mars 2015. Or il ressort de ce qui précède que ce n'est qu'au plus tôt en avril 2016 que la demande de restitution est formulée par D______, ce qui pose cas échéant un problème de maxime accusatoire, dans la mesure où il ne s'agit pas d'une simple imprécision. Il découle de ce qui précède que l'acquittement de l'intimé doit être confirmé et l'appel du MP rejeté.</w:t>
      </w:r>
    </w:p>
    <w:p>
      <w:r>
        <w:rPr>
          <w:b/>
        </w:rPr>
        <w:t>E. 6</w:t>
      </w:r>
    </w:p>
    <w:p>
      <w:r>
        <w:t>L'appel du MP ayant été rejeté, sauf en ce qui concerne l'absence d'intérêts pour l'indemnisation accordée au prévenu acquitté (art. 429 al. 1 let. a CPP ; cf. consid. 7.2.1 infra), il ne sera pas perçu de frais (art. 428 CPP a contrario).</w:t>
      </w:r>
    </w:p>
    <w:p>
      <w:r>
        <w:t>- 16/19 - P/13486/2012</w:t>
      </w:r>
    </w:p>
    <w:p>
      <w:r>
        <w:rPr>
          <w:b/>
        </w:rPr>
        <w:t>E. 7</w:t>
      </w:r>
    </w:p>
    <w:p>
      <w:r>
        <w:t>7.1.1.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7.1.2.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A teneur de l'art. 429 al. 1 let. a CPP, l'indemnité est limitée aux dépenses occasionnées par l'exercice raisonnable des droits de procédure du prévenu. 7.1.3.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2014,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7.1.4. L'indemnité à titre de l'art. 429 CPP ne saurait produire des intérêts compensatoires (ATF 143 IV 495 consid. 2.2.4).</w:t>
      </w:r>
    </w:p>
    <w:p>
      <w:r>
        <w:t>7.2.1. L'intimé n'a pas contesté l'indemnité de CHF 70'000.- allouée par le premier juge, qui sera partant confirmée. Comme l'a concédé l'intimé, aucun intérêt ne sera cependant accordé, au vu de la jurisprudence citée supra. Le jugement entrepris sera réformé sur ce seul point. 7.2.2. En ce qui concerne les dépenses occasionnées par la procédure d'appel, vu la confirmation de son acquittement, l'intimé peut également prétendre à une indemnité pour ses frais de défense. 7.2.2.1. Pour l'activité développée antérieurement au recours devant le Tribunal fédéral, l'intimé conclut à l'octroi d'une indemnité équitable. Sur la base des éléments du dossier, il sera retenu, ex aequo et bono, une activité de 10h00 pour la rédaction de l'annonce, de la déclaration et du mémoire d'appel, au tarif de CHF 450.-, plus TVA de 7.7 % en sus (CHF 346.50), soit un montant de CHF 4'846.50.</w:t>
      </w:r>
    </w:p>
    <w:p>
      <w:r>
        <w:t>- 17/19 - P/13486/2012 7.2.2.2. Pour la procédure post renvoi du Tribunal fédéral, l'intimé requiert un montant de CHF 13'644.50 correspondant à 8h12 d'activité de chef d'étude (CHF 450.-/heure), 1h36 d'activité de collaborateur (CHF 300.-/heure) et 56h40 d'activité d'avocate stagiaire (CHF 150.-/heure). Pourtant expressément invité à fournir le justificatif de ses conclusions chiffrées, le conseil du prévenu n'indique pas dans l'état de frais produit qui du chef d'étude ou de ses employés a effectué les différentes tâches répertoriées. Ainsi l'activité soustraite en raison de son caractère non nécessaire sera répartie entre eux de façon proportionnelle aux heures facturées pour chacun. Sera déduite 1h50 d'activité consacrée à des courriers au Tribunal fédéral et aux Services financiers, dans la mesure où elle ne concerne pas la présente procédure. Par ailleurs, 3h de recherches juridiques le 26 février 2019 "en lien avec l'arrêt du Tribunal fédéral" ne s'expliquent pas puisqu'elles sont largement antérieures à la notification du mémoire du Ministère public, expédié par la CPAR le 2 mai 2019, et que de nouvelles recherches juridiques sont facturées le 16 mai 2019 pendant 5h puis au moment de la rédaction du mémoire de réponse. À cet égard, 56h50 destinées à cette rédaction s'avèrent manifestement excessives. La présente procédure fait en effet suite à un recours devant le Tribunal fédéral où le conseil juridique de l'intimé a déjà eu l'occasion de déposer un mémoire écrit et où tant les parties que la CPAR maitrisent l'état de fait, si ce n'est les points relevés et laissés ouverts par l'arrêt de renvoi. Dans l'écriture de l'intimé, d'inutiles redites auraient largement pu être évitées et raccourcir la durée de l'activité. Une durée de 25h paraît en conséquence raisonnable et amplement suffisante pour une défense nécessaire et efficace à ce stade de la procédure. Elle englobe les postes de séances internes, l'examen du dossier, un courriel et des téléphones au client ainsi que la préparation du bordereau de pièces. S'y ajoutent les prestations des 20 février, 8 et 11 mars, ainsi que 3 mai 2019, ce qui fait un total de 29h45, arrondies à 30h, ventilées en 3h35 d'activité de chef d'étude (12% du total ; CHF 1'612.50), 0h55 d'activité de collaborateur (3% du total ; CHF 275.-) et 25h30 d'activité d'avocat stagiaire (85% du total ; CHF 3'825.-), soit un total de CHF 5'712.50, plus la TVA à 7.7 % (CHF 439.85).</w:t>
      </w:r>
    </w:p>
    <w:p>
      <w:r>
        <w:t>7.2.3. L'appelant se verra en conséquence allouer pour la procédure d'appel un montant total de CHF 10'998.85, arrondi à CHF 11'000.- (CHF 4'846.50 + CHF 6'152.35), TVA incluse. * * * * *</w:t>
      </w:r>
    </w:p>
    <w:p>
      <w:r>
        <w:t>- 18/19 - P/13486/2012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