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AARP/197/2015 vom 22. April 2015</w:t>
      </w:r>
    </w:p>
    <w:p>
      <w:r>
        <w:t>GE Cour de justice, 2015-04-22, FR</w:t>
      </w:r>
    </w:p>
    <w:p>
      <w:r>
        <w:rPr>
          <w:b/>
        </w:rPr>
        <w:t xml:space="preserve">Quelle: </w:t>
      </w:r>
      <w:r>
        <w:t>https://mcp.opencaselaw.ch/entscheid/ge_gerichte_AARP_197_2015</w:t>
      </w:r>
    </w:p>
    <w:p>
      <w:r>
        <w:t>FR: GE_GERICHTE AARP/197/2015 du 22 avril 2015</w:t>
      </w:r>
    </w:p>
    <w:p>
      <w:r>
        <w:t>IT: GE_GERICHTE AARP/197/2015 del 22 aprile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Chacun doit se comporter, dans la circulation, de manière à ne pas gêner ni mettre en danger ceux qui utilisent la route conformément aux règles établies (art. 26 al. 1 LCR). Chacun se conformera aux signaux et aux marques ainsi qu'aux ordres de la police. Les signaux et les marques priment les règles générales (art. 27 al. 1 LCR). 2.1.2. L'art. 90 al. 2 LCR punit d'une peine privative de liberté de trois ans au plus ou d'une peine pécuniaire celui qui, par une violation grave d'une règle de la circulation, crée un sérieux danger pour la sécurité d'autrui ou en prend le risque. L'infraction réprimée par l'art.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Dans le domaine des excès de vitesse, la jurisprudence, afin d'assurer l'égalité de traitement, a été amenée à fixer</w:t>
      </w:r>
    </w:p>
    <w:p>
      <w:r>
        <w:t>- 5/9 - P/14525/2013 des règles précises. Ainsi, le cas est objectivement grave, c'est-à-dire sans égard aux circonstances concrètes, en cas de dépassement de la vitesse autorisée de 25 km/h ou plus à l'intérieur des localités.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(arrêt du Tribunal fédéral 6B_3/2014 du 28 avril 2014, consid. 1.1). L'art. 90 al. 3 LCR punit d'une peine privative de liberté d'un à quatre ans celui qui, par une violation intentionnelle des règles fondamentales de la circulation, accepte de courir un grand risque d'accident pouvant entraîner de graves blessures ou la mort, en particulier en commettant des excès de vitesse particulièrement importants. L'art. 90 al. 3 LCR est toujours applicable lorsque la vitesse maximale autorisée a été dépassée d'au moins 50 km/h, là où la limite était fixée à 50 km/h (art. 90 al. 4 let. b LCR).</w:t>
      </w:r>
    </w:p>
    <w:p>
      <w:r>
        <w:rPr>
          <w:b/>
        </w:rPr>
        <w:t>E. 2.2</w:t>
      </w:r>
    </w:p>
    <w:p>
      <w:r>
        <w:t>En dépassant de 49 km/h la vitesse maximale autorisée, l'intimé a commis une violation grave des règles de la circulation routière (art. 90 al. 2 LCR), ce que le premier juge a retenu à bon droit et qui n'est pas remis en cause en appel.</w:t>
      </w:r>
    </w:p>
    <w:p>
      <w:r>
        <w:rPr>
          <w:b/>
        </w:rPr>
        <w:t>E. 3</w:t>
      </w:r>
    </w:p>
    <w:p>
      <w:r>
        <w:t>3 .1.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Conformément à l'art. 34 CP, la peine pécuniaire est fixée en jours-amende dont le tribunal fixe le nombre en fonction de la culpabilité de l'auteur (al. 1). Un jour-</w:t>
      </w:r>
    </w:p>
    <w:p>
      <w:r>
        <w:t>- 6/9 - P/14525/2013 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rPr>
          <w:b/>
        </w:rPr>
        <w:t>E. 3.3</w:t>
      </w:r>
    </w:p>
    <w:p>
      <w:r>
        <w:t>L'intimé a dépassé de manière très importante la vitesse maximale autorisée de 50 km/h, sans attendre la fin de cette limitation et sans raison particulière. Il rentrait du travail et n'était pas pressé. Il a donc choisi de rouler très vite pour des motifs de pure convenance personnelle. Sa faute est grave. L'infraction a été commise durant la journée, sur une chaussée large, sèche, par beau temps et alors que la circulation était fluide, selon le rapport de police. Le comportement de l'intimé n'a pas entraîné de mise en danger concrète des autres usagers de la route. Il a d'emblée reconnu les faits et semble avoir pris conscience de leur caractère répréhensible, comme en atteste le suivi d'un cours d'éducation routière dispensé par [l'association] B______. Il n'a aucun antécédent judiciaire et a subi la sanction administrative qui lui a été infligée. Au vu de ce qui précède, une peine pécuniaire de 90 jours-amende et une amende de CHF 900.- apparaissent adéquates, venant en plus des six mois de retrait du permis de conduire. Ces sanctions, il est vrai relativement clémentes, consacrent une application correcte des critères de l'art. 47 CP et tiennent compte de l'ensemble des circonstances du cas d'espèce. Enfin, il ne se justifie pas d'appliquer une sorte de "peine plancher" dans le cadre de l'art. 90 al. 2 CP, alors même que les conditions fixées à l'art. 90 al. 3 et 4 CP ne sont pas réalisées. La quotité de la peine prononcée par le premier juge sera ainsi confirmée, avec la précision que l'appelant, qui réclamait une amende de CHF 7'500.-, ne remet pas en cause celle de CHF 900.- infligée par le Tribunal de police à l'intimé.</w:t>
      </w:r>
    </w:p>
    <w:p>
      <w:r>
        <w:t>- 7/9 - P/14525/2013 Le sursis, dont les conditions sont réalisées (art. 42 al. 1 CP), est acquis à ce dernier (art. 391 al. 2 CPP). L'appel du Ministère public sera rejeté.</w:t>
      </w:r>
    </w:p>
    <w:p>
      <w:r>
        <w:rPr>
          <w:b/>
        </w:rPr>
        <w:t>E. 4</w:t>
      </w:r>
    </w:p>
    <w:p>
      <w:r>
        <w:t>Vu la qualité de l'appelant, qui succombe, les frais de la procédure d'appel seront laissés à la charge de l'Etat (art. 428 CPP). * * * * *</w:t>
      </w:r>
    </w:p>
    <w:p>
      <w:r>
        <w:t>- 8/9 - P/14525/2013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