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AARP/196/2025 vom 11. März 2025</w:t>
      </w:r>
    </w:p>
    <w:p>
      <w:r>
        <w:t>GE Cour de justice, 2025-03-11, FR</w:t>
      </w:r>
    </w:p>
    <w:p>
      <w:r>
        <w:rPr>
          <w:b/>
        </w:rPr>
        <w:t xml:space="preserve">Quelle: </w:t>
      </w:r>
      <w:r>
        <w:t>https://mcp.opencaselaw.ch/entscheid/ge_gerichte_AARP_196_2025</w:t>
      </w:r>
    </w:p>
    <w:p>
      <w:r>
        <w:t>FR: GE_GERICHTE AARP/196/2025 du 11 mars 2025</w:t>
      </w:r>
    </w:p>
    <w:p>
      <w:r>
        <w:t>IT: GE_GERICHTE AARP/196/2025 del 11 marzo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Après l'ouverture des débats, le tribunal et les parties peuvent soulever des questions préjudicielles, notamment concernant le dossier et les preuves recueillies (art. 339 al. 2 let. d CPP cum art. 405 al. 1 CPP).</w:t>
      </w:r>
    </w:p>
    <w:p>
      <w:r>
        <w:rPr>
          <w:b/>
        </w:rPr>
        <w:t>E. 2.2</w:t>
      </w:r>
    </w:p>
    <w:p>
      <w:r>
        <w:t>L'autorité d'instruction ou le juge ordonne une expertise s'il existe une raison sérieuse de douter de la responsabilité de l'auteur (art. 20 CP).</w:t>
      </w:r>
    </w:p>
    <w:p>
      <w:r>
        <w:t>L'autorité doit ordonner une expertise non seulement lorsqu'elle éprouve effectivement des doutes quant à la responsabilité de l'auteur, mais aussi lorsque, d'après les circonstances du cas particulier, elle aurait dû en éprouver, c'est-à-dire lorsqu'elle se</w:t>
      </w:r>
    </w:p>
    <w:p>
      <w:r>
        <w:t>- 27/50 - P/140/2020 trouve en présence d'indices sérieux propres à faire douter de la responsabilité pleine et entière de l'auteur au moment des faits. Constituent de tels indices, une contradiction manifeste entre l'acte et la personnalité de l'auteur, le comportement aberrant du prévenu, un séjour antérieur dans un hôpital psychiatrique, une interdiction prononcée sous l'empire des anciennes dispositions du Code civil (CC),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1B_215/2023 du 16 mai 2023 consid. 2.1).</w:t>
      </w:r>
    </w:p>
    <w:p>
      <w:r>
        <w:t>Selon l'état de la science forensique, le jeu ne peut être qualifié de maladie que lorsqu'il est l'expression d'un trouble marqué de la personnalité ou révèle un développement psychopathologique ayant conduit à une transformation de la personnalité globale et du mode de vie (M. NIGGLI / H. WIPRÄCHTIGER (éds), Basler Kommentar Strafrecht I : Art. 1-110 StGB, Jugendstrafgesetz, 4ème éd., Bâle 2019, n. 34 ad art. 59).</w:t>
      </w:r>
    </w:p>
    <w:p>
      <w:r>
        <w:t>La simple possibilité que les faits puissent avoir une origine psychique ne suffit pas à conclure à une obligation d'expertise. De même, la simple affirmation du prévenu, qui ne repose sur aucun indice, selon laquelle il n’est pas en bonne santé mentale ne saurait déclencher une obligation d’expertise (M. NIGGLI / H. WIPRÄCHTIGER (éds), Basler Kommentar Strafrecht I : Art. 1-110 StGB, Jugendstrafgesetz, 4ème éd., Bâle 2019, n. 12 ad art. 20).</w:t>
      </w:r>
    </w:p>
    <w:p>
      <w:r>
        <w:t>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6B_987/2017 du 12 février 2018 consid. 1.1 ; 6B_418/2009 du 21 octobre 2009 consid. 1.2.2 ; 6B_13/2009 du 9 février 2009 consid. 3.1).</w:t>
      </w:r>
    </w:p>
    <w:p>
      <w:r>
        <w:rPr>
          <w:b/>
        </w:rPr>
        <w:t>E. 2.3</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w:t>
      </w:r>
    </w:p>
    <w:p>
      <w:r>
        <w:t>Selon l'art. 139 al. 2 CPP, il n'y a pas lieu d'administrer des preuves sur des faits non pertinents, notoires, connus de l'autorité ou déjà suffisamment prouvés. Cette</w:t>
      </w:r>
    </w:p>
    <w:p>
      <w:r>
        <w:t>- 28/50 - P/140/2020 disposition codifie, pour la procédure pénale, la règle jurisprudentielle déduite de l'art. 29 al. 2 de la Constitution fédérale de la Confédération suisse (Cst.) en matière d'appréciation anticipée des preuves (arrêts du Tribunal fédéral 6B_366/2021 du 26 janvier 2022 consid. 2.1.3 ; 6B_237/2021 du 6 décembre 2021 consid. 2.1 ;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w:t>
      </w:r>
    </w:p>
    <w:p>
      <w:r>
        <w:t>2.4.1. En l'espèce, l'appelant soutient qu'il présenterait une addiction aux jeux et aux stupéfiants, ayant favorisé son passage à l'acte et entraîné sa déchéance personnelle (cf. demande de mise en liberté du 29 février 2024). Or, au-delà de cette (seule) affirmation, aucun élément objectif au dossier, de certificat médical en particulier, ne vient l'étayer. Aucune des attestations médicales fournies par l'appelant ne pose le diagnostic d'une quelconque dépendance aux jeux ou à la cocaïne, les propos de ce dernier, quant aux troubles qu'il allègue présenter, de même que sa volonté d'entreprendre un suivi, y étant simplement consignés (cf. notamment pièce 20 du chargé du 29 février 2024, pièce 28 du chargé du 6 mars 2024, pièce 35 du chargé du 28 juin 2024, pièces 13 et 14 du chargé du 19 février 2025). Les symptômes de manque lié au sevrage qu'il évoque en appel ne sont pas davantage étayés. À cela s'ajoute que cette assertion n'est apparue que tardivement dans la procédure, soit au plus tôt lors de sa demande de mise en liberté du 29 février 2024 présentée par-devant le TCO, le premier document en faisant état datant de la veille, ce qui la fait perdre en poids. Les compagnes de l'appelant, soit H______ ou AC______, n'ont pas constaté de propension particulière de l'intéressé à s'adonner aux jeux. Le seul fait que la première ait décrit l'appelant comme étant sous l'effet de substances, notamment lorsqu'il revenait de ses "virées nocturnes" ou régulièrement alcoolisé ne suffit pas à créer un doute, qui plus est sérieux, quant à sa responsabilité pénale, laquelle est présumée (arrêt du Tribunal fédéral 6B_1129/2014 du 9 septembre 2015 consid. 4.2). Il est le lieu de relever que si la défense a plaidé une dépendance aux jeux et aux stupéfiants, le prévenu, de manière ponctuelle, en appel encore, a évoqué avoir joué sous l'influence de l'alcool, dite inconstance faisant encore perdre en poids son affirmation.</w:t>
      </w:r>
    </w:p>
    <w:p>
      <w:r>
        <w:t>Il n'y a pas lieu, partant, d'ordonner une expertise. La prise de renseignements écrits auprès des thérapeutes de l'appelant, lesquels n'interviennent pas comme experts, ne s'impose pas davantage.</w:t>
      </w:r>
    </w:p>
    <w:p>
      <w:r>
        <w:t>2.4.2. Les auditions des enfants CT___/CV___/DF______ et de AD______ n'apparaissent pas nécessaires pour connaître de l'issue de la cause, étant rappelé que DF______ et le précité ont déjà été entendus par les premiers juges. Celle de</w:t>
      </w:r>
    </w:p>
    <w:p>
      <w:r>
        <w:t>- 29/50 - P/140/2020 AC______ en appel, de même que les nombreuses pièces produites par la défense (attestations, vidéos, retranscription, etc.) suffisent à renseigner sur les liens qui unissent l'appelant aux précités, dont l'intensité n'est pas remise en question par la Cour de céans.</w:t>
      </w:r>
    </w:p>
    <w:p>
      <w:r>
        <w:t>2.4.3. La question préjudicielle est par conséquent rejetée. Il n'y a pas lieu, partant, ni d'ajourner les débats (art. 339 al. 5 CPP) ni de mettre l'appelant en liberté.</w:t>
      </w:r>
    </w:p>
    <w:p>
      <w:r>
        <w:rPr>
          <w:b/>
        </w:rPr>
        <w:t>E. 3.1</w:t>
      </w:r>
    </w:p>
    <w:p>
      <w:r>
        <w:t>Avant le 1er juillet 2023, le vol par métier et l'escroquerie par métier étaient passibles d'une peine privative de liberté de dix ans au plus ou d'une peine pécuniaire de 90 jours-amende au moins (art. 139 ch. 1 et 2 et 146 al. 1 et al. 2 aCP).</w:t>
      </w:r>
    </w:p>
    <w:p>
      <w:r>
        <w:t>La contrainte et le faux dans les certificats sont passibles d'une peine privative de liberté de trois ans au plus ou d'une peine pécuniaire (art 181 et 252 CP).</w:t>
      </w:r>
    </w:p>
    <w:p>
      <w:r>
        <w:t>Le faux dans les titres et le blanchiment aggravé sont passibles d'une peine privative de liberté de cinq ans au plus ou d'une peine pécuniaire (art. 251 ch. 1 et 305bis ch. 1 et 2 CP).</w:t>
      </w:r>
    </w:p>
    <w:p>
      <w:r>
        <w:t>L'entrée illégale, le séjour illégal et l'exercice d'une activité lucrative sans autorisation sont passibles d'une peine privative de liberté d'un an au plus ou d'une peine pécuniaire (art. 115 al. 1 let. a, b et c LEI).</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- 30/50 - P/140/2020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2ème éd., Bâle 2021, n. 54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En matière d'infraction à la législation sur les étrangers, le préjudice pour la collectivité ne doit pas être sous-estimé, y compris au plan matériel, puisque cela mobilise constamment les nombreux acteurs appelés à les réprimer (AARP/136/2025 du 15 avril 2025 consid. 3.2.4 ; AARP/329/2023 du 4 septembre 2023 consid 3.2.1 ; AARP/64/2023 du 20 janvier 2023 consid. 4.3). 3.3.1.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3.3.2. Le juge peut atténuer la peine si l'exécution d'un crime ou d'un délit n'est pas poursuivie jusqu'à son terme ou que le résultat nécessaire à la consommation de l'infraction ne se produit pas ou ne pouvait pas se produire (art. 22 al. 1 CP). 3.4.1. En l'espèce, la faute de l'appelant est lourde. Il s'en est pris à d'innombrables biens juridiques protégés, tels que le patrimoine, la confiance accordée dans la vie juridique à un titre comme moyen de preuve et la saine administration de la justice et l'honneur, le domaine privé, la liberté. Il a en outre enfreint de manière répétée les normes de la LEI. La période pénale est longue, puisque de près de deux ans s'agissant des infractions à la LEI et de plus d'une année pour les vols et escroqueries par métier. Ce qui marque tout particulièrement est la fréquence et le nombre d'actes commis, qui témoignent</w:t>
      </w:r>
    </w:p>
    <w:p>
      <w:r>
        <w:t>- 31/50 - P/140/2020 d'une volonté criminelle intense de l'appelant, de même que la manière professionnelle dont il a agi. Ses explications quant à la façon dont il procédait, que cela soit pour l'ouverture de comptes bancaires au moyen de documents d'identité précédemment volés, ou pour celle des enveloppes contenant les bulletins de versement ensuite falsifiés sans laisser de traces, sont évocatrices de sa grande maîtrise de ce type de procédés. De la même manière, le nombre de personnes lésées, à tout le moins 64, est considérable. L'appelant a agi en faisant fi des conséquences de ses actes sur ces dernières, lesquelles, outre les nombreuses démarches administratives qu'elles ont dû accomplir pour remédier à la situation, ont pour certaines d'entre elles également été empêchées de concrétiser des projets essentiels en raison de la lésion de leur patrimoine. Il en va ainsi de R______, laquelle n'a pas été en mesure de financer l'installation d'un lift destiné à son mari handicapé. Le préjudice résultant de l'activité criminelle de l'appelant est très conséquent. On songera à cet égard que les bulletins de versement falsifiés ont conduit à des versements sur les comptes ouverts frauduleusement de plus de CHF 700'000.-, tandis que les dépenses effectuées au moyen des cartes de crédit obtenues en usurpant l'identité de tiers a avoisiné les CHF 400'000.-, montants qui, s'ils n'ont pas intégralement bénéficié au prévenu, lui ont largement profité, ainsi que le démontrent les relevés de comptes et de cartes figurant au dossier (lui-même admettant un bénéfice de CHF 150'000.- selon ses déclarations en appel). L'appelant n'a pas non plus hésité à impliquer sa compagne de l'époque dans ses agissements criminels, comme ce fut le cas précédemment avec AC______. Les mobiles qui l'ont conduit à agir sont éminemment égoïstes. Il a été mû par une jalousie mal placée à l'égard de H______ et a agi par convenance personnelle s'agissant des infractions à la LEI. C'est surtout la recherche d'un gain conséquent et facilement obtenu, au moyen d'un procédé éprouvé, pour avoir été pratiqué à plusieurs reprises par le passé, qui a motivé les actes de l'appelant. Loin d'affecter les sommes ainsi obtenues à l'entretien de ses cinq enfants, laissés à la charge de leurs mères respectives, sous réserve de menues dépenses effectuées ponctuellement en ce qui concerne ceux issus de sa relation avec AC______, l'appelant a "flambé" les montants considérables qu'il a obtenus de ses escroqueries, essentiellement pour assouvir ses vices : jeu, sexe, alcool et stupéfiants. Le but poursuivi apparaît ainsi particulièrement vil. L'appelant a en effet financé son train de vie marqué par divers achats somptuaires (voitures, habits, chaussures, chevalière), mais et surtout, par une propension à fréquenter le milieu de la nuit. À cet égard, si le dossier permet de retenir que lors de ces soirées festives, l'appelant a consommé de la cocaïne, de l'alcool, eu recours aux</w:t>
      </w:r>
    </w:p>
    <w:p>
      <w:r>
        <w:t>- 32/50 - P/140/2020 prestations de travailleuses du sexe, en sus de s'être, sans doute également, adonné à des jeux d'argent clandestins, aucun élément, comme déjà relevé précédemment en lien avec la question préjudicielle, n'atteste qu'il présentait une addiction aux toxiques ou au jeu au sens médical du terme. Il n'y a ainsi aucune raison de douter de la responsabilité pénale, pleine et entière, de l'appelant lors de la commission des infractions dont il a été reconnu coupable. Par ailleurs, les menaces et l'agression de janvier 2020 (cf. PP C-3'848) dont il a été victime, dûment établies, s'expliquent par la fréquentation du milieu criminogène dans lequel il évoluait, sans que cela puisse être spécifiquement lié à celui de jeux d'argent clandestins tenus par des albanais, ce que tend à démontrer le fait que l'auteur des SMS de menaces, CD______, est d'une autre origine. En tous les cas, ni les menaces, ni l'agression qu'il a subie, ne l'ont dissuadé de poursuivre ses agissements. En regard de sa situation personnelle, l'appelant avait toute latitude d'agir autrement. En effet, à sa sortie de prison en septembre 2017, où il bénéficiait d'une assistance de probation assortie de règles de conduite pendant la durée d'épreuve de la libération conditionnelle, il a emménagé avec DE______ et leur fils CQ______. Il a ensuite emménagé avec H______, dont il a bénéficié du soutien, notamment financier quand cela était nécessaire. Titulaire d'un diplôme de paysagiste, il a eu l'occasion de travailler dans ce domaine pendant deux ans, ainsi que, de manière saisonnière, comme plongeur, monteur en échafaudages et peintre en bâtiment, pour des salaires allégués qui lui permettaient de couvrir ses besoins essentiels. Il savait en outre que les enfants communs avec AC______ avaient grandement souffert de sa précédente incarcération et qu'ils étaient demandeurs de pouvoir entretenir des relations personnelles avec lui. Il aurait ainsi pu et dû se comporter différemment. La collaboration de l'appelant est, d'une manière générale, relativement bonne, en ce sens qu'il a admis l'intégralité des faits reprochés. Elle n'est toutefois pas exempte de critiques. Son discours a été émaillé de certaines fluctuations, en particulier quant à son propre rôle, et il a tenté de reporter une partie de sa faute sur des tiers, dont l'enquête n'a toutefois pas permis de mettre en évidence l'implication. Sa prise de conscience de la gravité de ses agissements apparaît initiée. Il a présenté des excuses aux lésés et a acquiescé aux conclusions civiles des plaignants. Il a en outre pris des mesures pour indemniser ces derniers, ayant ouvert à cet effet un compte LAVI, créditeur de CHF 1'800.- au 20 février 2025. Il y a toutefois lieu de déplorer que depuis les débats de première instance, l'appelant a tenté de minimiser sa responsabilité en invoquant souffrir d'une addiction à la drogue et au jeu, alors même qu'il s'agissait là tout au plus de vices auxquels il aimait s'adonner. Par ailleurs, ses regrets semblent aujourd'hui davantage centrés sur lui-même et les conséquences de ses actes en cas d'expulsion, plutôt que sur le traitement qu'il a réservé aux lésés.</w:t>
      </w:r>
    </w:p>
    <w:p>
      <w:r>
        <w:t>- 33/50 - P/140/2020 Aucune circonstance atténuante n'est réalisée ni même plaidée au stade de l'appel. L'appelant a des antécédents nombreux et spécifiques, ayant déjà été condamné à cinq reprises entre le 5 février 2017 et le 24 février 2020, dans la plupart des cas à des peines privatives de liberté conséquentes, ce qui ne l'a pas dissuadé de commettre de nouvelles infractions. Il a bénéficié de deux libérations conditionnelles (2011 et 2017) et a récidivé dans le délai d'épreuve de la dernière libération conditionnelle (délai d'épreuve du 22 septembre 2017 au 9 janvier 2019), et ce n'est qu'en raison de l'écoulement de plus de trois ans entre la fin du délai d'épreuve et le jugement de première instance, que la réintégration dans le solde de la peine (un an, trois mois et 17 jours) n'a pas été ordonnée. Il avait en outre bénéficié d'une autre libération conditionnelle par le passé, ce qui ne l'avait pas davantage dissuadé de récidiver. Enfin, l'appelant a commis les infractions au préjudice de H______ alors qu'il était détenu dans le cadre de la présente procédure. Tous ces éléments démontrent que l'appelant fait fi en toutes circonstances du respect des règles et interdits en vigueur et qu'il est solidement ancré dans la délinquance, qui constitue son mode de vie depuis près de 20 ans. Contrairement à ce qu'ont retenu les premiers juges, le délai qui s'est écoulé entre la saisine du TCO et les débats de première instance ne consacre pas une violation du principe de célérité, aussi légère fût-elle, au vu de l'ampleur du dossier et du nombre d'occurrences listées dans l'acte d'accusation. Cela étant, en l'absence d'appel du MP, il sera pris acte de l'existence de ladite violation, eu égard à l'interdiction de la reformatio in pejus (art. 391 al. 2 CPP). Il sera enfin tenu compte de ce que certaines infractions n'ont été que tentées, étant relevé que l'absence d'aboutissement ne résulte pas d'un désistement de l'appelant (art. 22 al. 1 CP). 3.4.2. Vu les éléments qui précèdent, seule une peine privative de liberté est adéquate pour détourner l'auteur d'autres crimes ou délits (art. 40 CP), sous réserve des infractions passibles d'une peine d'un autre genre. Il y a donc concours au sens de l'art. 49 al. 1 CP, ce qui est un motif d'aggravation, et cumul de peines (cf. infra consid. 3.4.3). Les infractions de vol par métier et d'escroquerie par métier sont objectivement d'une gravité identique au vu de la peine menace qui était prévue par le CP avant le 1er juillet 2023. La première justifie à elle seule le prononcé d'une peine privative de liberté de de deux ans et six mois. Cette peine sera aggravée d'une peine privative de liberté d'un an pour tenir compte de la seconde (peine hypothétique : deux ans). Vu le nombre d'occurrences, les infractions de faux dans les titres et de blanchiment aggravés</w:t>
      </w:r>
    </w:p>
    <w:p>
      <w:r>
        <w:t>- 34/50 - P/140/2020 emportent le prononcé d'une peine privative de liberté de six mois chacune (peine hypothétique : un an). Pour le même motif, il en va de même de celles de faux dans les certificats et de tentative de faux dans les certificats (peine hypothétique : un an). Enfin, les délits à la LEI doivent être réprimés par une peine privative de six mois (deux mois par infraction ; peine hypothétique : quatre mois par infraction). En définitive, une peine privative de liberté de six ans aurait été justifiée pour sanctionner les agissements de l'appelant. Compte tenu de la violation du principe de célérité constatée par les premiers juges et en application du principe de l'interdiction de la reformatio in pejus, la peine privative de liberté de cinq ans et demi prononcée par le TCO sera confirmée (art. 391 al. 2 CP). La détention avant jugement sera déduite (art. 51 CP). 3.4.3. Les autres peines (20 jours-amende à CHF 30.- l'unité et amende de CHF 500.-) ne sont pas contestées. Elles seront confirmées, dès lors qu'elles procèdent d'une application correcte des principes juridiques en matière de fixation de la peine.</w:t>
      </w:r>
    </w:p>
    <w:p>
      <w:r>
        <w:rPr>
          <w:b/>
        </w:rPr>
        <w:t>E. 4.1</w:t>
      </w:r>
    </w:p>
    <w:p>
      <w:r>
        <w:t>Conformément à l'art. 66a al. 1 let. c CP, le juge expulse l'étranger, qui est, notamment, reconnu coupable de vol qualifié ou d'escroquerie par métier, quelle que soit la quotité de la peine prononcée à son encontre, pour une durée de cinq à quinze ans.</w:t>
      </w:r>
    </w:p>
    <w:p>
      <w:r>
        <w:rPr>
          <w:b/>
        </w:rPr>
        <w:t>E. 4.2</w:t>
      </w:r>
    </w:p>
    <w:p>
      <w:r>
        <w:t>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w:t>
      </w:r>
    </w:p>
    <w:p>
      <w:r>
        <w:t>- 35/50 - P/140/2020 international, en particulier l'art. 8 CEDH (ATF 149 IV 231 consid. 2.1.1 ; 146 IV 105 consid. 3.4.2). L'art. 8 par. 1 CEDH dispose que toute personne a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(arrêt du Tribunal fédéral 6B_1029/2023 du 22 février 2024 consid. 4.2).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du 20 novembre 1989 relative aux droits de l'enfant [CDE ; RS 0.107]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w:t>
      </w:r>
    </w:p>
    <w:p>
      <w:r>
        <w:t>- 36/50 - P/140/2020 parent. Une expulsion qui conduit à un éclatement d'une famille constitue une ingérence très grave dans la vie familiale (arrêts du Tribunal fédéral 6B_1029/2023 précité consid. 4.3 et 4.4 ; 6B_1162/2023 précité consid. 1.3). Les enfants mineurs partagent le sort, en droit des étrangers, du parent qui en a la garde (ATF 143 I 21 consid. 5.4). L'expulsion du parent qui détient l'autorité parentale et la garde exclusive de l'enfant a donc pour conséquence que l'enfant est de facto contraint de quitter la Suisse (ATF 143 I 21 consid. 5.4 ; 140 I 145 consid. 3.3). Si des enfants sont également concernés par l'expulsion, il faut notamment tenir compte des difficultés qu'ils pourraient rencontrer dans le pays de destination (arrêt du Tribunal fédéral 6B_49/2024 du 28 août 2024 consid. 3.2.8). 4.3.1. L'appelant ne bénéficiant pas d'un statut de réfugié en Suisse, seule l'hypothèse visée par l'art. 66d al. 1 let. b CP entre en ligne de compte. L'exécution de l'expulsion obligatoire selon l’art. 66a ne peut être reportée que lorsque d’autres règles impératives du droit international s'opposent à l'expulsion (art. 66d al. 1 let. b CP). Les éventuels obstacles à l'expulsion, au sens de l'art. 66d al. 1 CP, doivent déjà être pris en compte au moment du prononcé de l'expulsion, pour autant que ces circonstances soient stables et puissent être déterminées de manière définitive (ATF 149 IV 231 consid. 2.1.2 ; arrêt du Tribunal fédéral 6B_350/2024 du 7 novembre 2024 consid. 1.2.5). La RDC ne figurant pas dans la liste des États dit sûrs, soit les États d'origine ou de provenance exempts de persécutions (cf. annexe 2 OA 1), il n'y a pas lieu de présumer que l'exécution de l'expulsion ne contrevient pas au principe du non-refoulement (art. 66d al. 2 CP). La condition de report de l'expulsion prévue par l'art. 66d al. 1 let. b CP est fondée sur le principe de non-refoulement découlant des normes impératives du droit international en matière de droits humains. Il convient sur ce plan de se référer à l'art. 25 al. 3 Cst., aux termes duquel nul ne peut être refoulé sur le territoire d'un État dans lequel il risque la torture ou tout autre traitement ou peine cruels et inhumains ainsi qu'à l'art. 3 par. 1 de la Convention du 10 décembre 1984 contre la torture et autres peines ou traitements cruels, inhumains ou dégradants qui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w:t>
      </w:r>
    </w:p>
    <w:p>
      <w:r>
        <w:t>- 37/50 - P/140/2020 que l'intéressé, si on le renvoie dans son pays, y courra un risque réel d'être soumis à un traitement contraire à l'art. 3 CEDH (ATF 149 IV 231 consid. 2.1.5 et références citées). Pour tomber sous le coup de l'art. 3 CEDH, un mauvais traitement doit toutefois atteindre un minimum de gravité (arrêt de la CourEDH Saadi contre Italie précité, § 134). L'appréciation de ce minimum dépend de l'ensemble des données de la cause (ATF 134 I 221 consid. 3.2.1). Si l'existence d'un tel risque est établie, l'expulsion, respectivement le refoulement emporterait nécessairement violation de l'art. 3 CEDH, que le risque émane d'une situation générale de violence, d'une caractéristique propre à l'intéressé, ou d'une combinaison des deux (cf. arrêt de la CourEDH F.G. contre Suède précité, § 116 et les références citées). 4.3.2. De jurisprudence constante, le Tribunal administratif fédéral (TAF) retient que la RDC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TAF E-5204/2024 du 31 octobre 2024 consid. 5.3.1 ; E-5654/2024 du 9 octobre 2024 consid. 7.2 ; E-4927/2019 du 8 avril 2024 consid. 10.3 ; D-3301/2021 du 2 novembre 2023 consid. 12.3.1 ; E-6011/2020 du 8 janvier 2021 consid. 8.2 ; D-544/2018 du 12 mai 2020 consid. 11.2). Le renvoi des ressortissants ayant eu leur dernier domicile à Kinshasa ou dans l'une des villes de l'ouest du pays disposant d'un aéroport, ou ayant un réseau social et familial solide dans l'une de ces villes, était en principe raisonnablement exigible (arrêts du TAF E-5204/2024 précité consid. 5.3.1 ; E-5654/2024 consid. 7.2). Dans un arrêt 6B_189/2022 du 30 novembre 2022, le Tribunal fédéral a confirmé l'expulsion d'une ressortissante de RDC dans son pays d'origine, celle-ci n'étant pas parvenue à démontrer qu'elle encourrait un risque de persécution dans ce pays, justifiant un report de l'expulsion en application de l'art. 66d al. 1 CP (consid. 3.4.4). Dans un arrêt E-1345/2025 du 5 mars 2025, le TAF a considéré que les tensions violentes dans la région de Bukavu (à l'est de la RDC) opposant les habitants de la RDC et le groupe MS13 (recte : M23) n'affectaient pas la situation du recourant, car dite région se trouvait à plus de 2'000 kilomètres de DN______, dont il était originaire (cf. consid. 8.2). 4.4.1.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w:t>
      </w:r>
    </w:p>
    <w:p>
      <w:r>
        <w:t>- 38/50 - P/140/2020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Par ailleurs, l'art. 24 § 2 let.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 arrêt du Tribunal fédéral 6B_40/2022 du 2 février 202 consid. 3.2).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4.4.2. L'inscription au SIS n'empêche pas l'octroi d'une autorisation de séjour par un État membre, en application de la législation européenne. En effet, un ressortissant d'un État tiers peut obtenir un titre de séjour d'un État Schengen si celui-ci considère, après consultation entre États, que l'inscription ne fait pas obstacle à l'octroi d'une telle autorisation, par exemple au titre du regroupement familial. Il importe néanmoins de</w:t>
      </w:r>
    </w:p>
    <w:p>
      <w:r>
        <w:t>- 39/50 - P/140/2020 procéder à l'inscription pour informer les États membres de l'existence d'une condamnation (arrêt du Tribunal fédéral 6B_834/2021 du 5 mai 2022 consid. 2.2.5). 4.5.1. La défense plaide la clause de rigueur. 4.5.2. En l'espèce, le seul enfant mineur de l'appelant vivant en Suisse est CQ______, né le ______ 2015, alors que le prévenu était détenu (2015-2017). L'appelant n'a vécu avec celui-ci et sa mère que du 22 septembre 2017 au mois de janvier 2018, date de sa séparation d'avec cette dernière. Ils n'ont ainsi pas formé de réelle communauté domestique. L'appelant a ensuite vu à quelques reprises l'enfant à un Point Rencontre, puis les relations personnelles se sont interrompues, à l'initiative de l'appelant, de sorte que son droit de visite a été suspendu le 13 août 2019, décision confirmée le 14 janvier 2021. La reprise des relations personnelles était conditionnée à une reprise de contact de ce dernier avec la curatrice de l'enfant, respectivement avec le TPAE. Toutefois, à ce jour, aucune démarche dans ce sens n'a été entreprise par l'appelant. On peut douter que ce choix ait été motivé par un souci de préserver son fils de la confrontation au milieu carcéral, comme l'appelant l'allègue en appel. Il dénote plutôt de son désintérêt pour son benjamin, d'autant plus si l'on songe qu'il n'a émis aucune objection aux visites en prison de CT______, qui est sensiblement du même âge que CQ______. Il s'ensuit qu'à tout le moins depuis courant 2019, l'appelant n'a plus aucun contact avec cet enfant et que par le passé et ce, jusqu'à ce jour, il n'a apporté à celui-ci aucun soutien moral et financier. Les deux autres enfants mineurs de l'appelant sont issus de sa relation avec AC______, avec laquelle il avait cessé toute communauté domestique depuis 2015, en raison de la nouvelle relation sentimentale qu'il avait nouée. Même si l'appelant n'a pas participé financièrement à leur entretien, à tout le moins pas de manière significative depuis 2015, il a entretenu avec CV______ et CT______ des contacts personnels plus étroits qu'avec CQ______, en particulier à l'occasion de ses périodes de détention et principalement sous l'impulsion de AC______, laquelle a manifestement toujours eu à cœur de maintenir le lien entre celui-ci et ses enfants. Le prévenu ne s'est pas réellement soucié de CT______ pendant la grossesse de la précitée, ni à sa naissance, vu sa relation d'alors avec DE______, de l'aveu même de AC______ à l'une de ses amies. Les contacts avec cet enfant ont été noués essentiellement ultérieurement, à la faveur de sa détention. Selon H______, l'appelant n'a jamais accueilli ses enfants à leur domicile en 2019 et 2020, et elle ignorait même qu'il en avait d'autres que CQ______, preuve que les liens étaient distendus à cette période. Depuis mi-2022, début 2023, suite à l'hospitalisation de l'appelant pour une infection contractée en milieu carcéral et à nouveau sous l'impulsion de AC______, un renforcement des contacts de celui-ci avec ses enfants communs avec la précitée a eu lieu. Cet état est à l’évidence lié à son rapprochement avec AC______ et à la reprise d'une relation sentimentale avec celle-ci en 2023. À teneur des éléments figurant au</w:t>
      </w:r>
    </w:p>
    <w:p>
      <w:r>
        <w:t>- 40/50 - P/140/2020 dossier (attestations et vidéos), l'attachement des enfants envers leur père est manifeste et il n'y a pas de raison de douter de la réciprocité de ses sentiments à leur égard. Cela étant, ils vivent, de même que leur mère, en France voisine et le projet de s'installer en Suisse semble peu abouti et peu réalisable d'un point de vue financier. On ignore ainsi quand concrètement AC______ sera en mesure de trouver un logement en Suisse capable d'accueillir toute la famille. On peine aussi à comprendre l'intention de l'appelant de s'installer chez sa future belle-mère en Suisse avec son aînée, plutôt qu'en France auprès de ses enfants encore mineurs qui ont davantage besoin de lui, tout comme de leur mère pour l’aider à les prendre en charge. Ce projet, tel que présenté, apparaît construit pour les besoins de la cause de l'appelant, afin de tenter de légitimer sa présence en Suisse. Sur ce point, tant l’appelant que son entourage perdent de vue que l'intéressé ne dispose d'aucune autorisation de séjour en Suisse, n'ayant jamais été titulaire d'un droit de résidence au demeurant. Le projet de mariage et les documents produits dans ce cadre démontrent une volonté d'officialiser la relation sur France et non en Suisse, ce qui constitue un autre élément attestant que le centre de vie futur de l'appelant sera dans ce premier pays. Quant à la promesse d'embauche établie par CX______ le 14 janvier 2025 pour le compte de la société CY______/CZ______, elle doit être appréhendée avec réserve. L'appelant a en effet déclaré aux débats d'appel ne jamais avoir rencontré le précité, qui était une connaissance de l'un de ses anciens codétenus, de sorte que loin de constituer une offre d'emploi ferme, ce document apparaît davantage avoir été délivré par complaisance. Là encore, l'appelant perd de vue que faute de disposer d'une autorisation de séjour, il n'est pas autorisé à travailler en Suisse, ce dont il est parfaitement conscient, ayant déjà été condamné par le passé pour une infraction à l'art.115 al. 1 let. c LEI. Quant aux autres enfants de l'appelant résidants en Suisse, ils sont tous deux majeurs et donc en mesure de se déplacer pour rendre visite à leur père à l'étranger. DF______ poursuit sa scolarité sur Suisse et vit chez sa grand-mère maternelle manifestement pour des raisons pratiques. Elle n'a plus cohabité avec son père depuis 2015, et, depuis cette date, l'appelant n'a plus contribué à son entretien, à tout le moins pas de manière significative. À l'instar des autres membres de la fratrie, l'essentiel des contacts semble avoir eu lieu à la faveur des différentes périodes de détention de l'appelant et ce, à l'initiative de AC______. Quant à AD______, il apparaît en outre être indépendant d'un point de vue financier et jouir d'un entourage qui lui a permis de poursuivre ses études sur Genève une fois de retour du Congo. Aucun élément au dossier ne démontre que la présence de l'appelant à ses côtés serait indispensable, y compris après l'agression dont il a été victime, laquelle n'est pas documentée, au-delà de la photographie produite. Il sied</w:t>
      </w:r>
    </w:p>
    <w:p>
      <w:r>
        <w:t>- 41/50 - P/140/2020 encore de rappeler que l'appelant n'a jamais vécu avec AD______, qu'il n'a côtoyé que jusqu'à ses trois ans, au point que le jeune homme n'avait conservé aucun souvenir de son père avant de le rencontrer en 2023. Il ne semble pas non plus avoir participé à son entretien, ni s'être particulièrement soucié de son sort, ignorant par exemple en quelle année AD______ était parti en Afrique avec sa mère. Leurs liens, s'ils apparaissent authentiques, comme tous deux en ont témoigné, sont récents et se sont noués alors que le jeune homme était déjà majeur. 4.5.3. Au vu de l'ensemble de ces éléments, l'appelant ne saurait se prévaloir de la garantie au respect de la vie privée et familiale consacré par l'art. 8 CEDH pour s'opposer à son expulsion. 4.5.4. Sous l'angle de l'art. 66d al. 1 CP, l'appelant ne mentionne concrètement aucun risque personnel, sous forme de traitements dégradants ou d'actes de torture, en cas de renvoi en RDC, justifiant un examen plus étendu sous l'angle de l'art. 3 CEDH que celui lié à la situation générale dans ce pays, qui est connue de longue date des autorités suisses. Les troubles sont essentiellement concentrés au nord-est du pays, qui est d'une superficie très vaste, de sorte qu'il existe de nombreuses zones où il est possible de s'installer à l'abri des conflits, seules certaines d'entre elles étant, du reste, listées par le DFAE comme des destinations où il est déconseillé de se rendre. 4.5.5. D'une manière générale, l'intérêt privé de l'appelant à demeurer en Suisse est faible. En effet, il n'est pas né en Suisse et est arrivé sur le territoire à l'âge adulte. Il n'a jamais bénéficié d'une autorisation de séjour, de sorte qu'il a toujours séjourné dans l'illégalité, ce qui donne peu de poids aux nombreuses années qu'il a passées en Suisse. Il a travaillé de manière très ponctuelle et non déclarée. Il a enfreint l'ordre juridique suisse à plusieurs reprises, ce qui lui a valu de nombreuses condamnations, ainsi que de passer plusieurs années en prison. Au-delà de ses enfants et des compagnes qu'il a fréquentées, avec lesquelles il n'a pas conservé de contacts, sous réserve de AC______, il n'a pas réellement tissé de relations sociales en Suisse. Ses principales fréquentations étaient liées au milieu criminel dans lequel il évoluait, ce qui se traduit jusque dans la manière dont il a obtenu une attestation de promesse d'embauche et par le fait qu'il ne reçoit de visites en prison que de la part de AC______, leurs enfants, sous réserve de AD______, et de la mère de la précitée. L'appelant n'a ainsi pas fait preuve d'une réelle intégration en Suisse. Quant aux problèmes médicaux qu'il évoque (opération d'un lipome et du ménisque), ils sont relativement bénins et ne sauraient justifier sa présence en Suisse. L'appelant a certes un intérêt privé à ne pas être renvoyé dans son pays d'origine, où son intégration serait sans doute difficile, dans la mesure où il l'a quitté alors qu'il était très jeune et qu'il n'est que brièvement revenu sur place, à DN______, en compagnie de sa famille à l'adolescence. Il n'a plus de lien dans son pays d'origine et n'y a jamais travaillé. Cela étant, ses perspectives d'avenir dans ce pays n'apparaissent pas particulièrement moins favorables que celles qu'il a en Suisse, à l'aune de sa formation</w:t>
      </w:r>
    </w:p>
    <w:p>
      <w:r>
        <w:t>- 42/50 - P/140/2020 et de son parcours professionnel, étant rappelé qu'il parle la langue de son pays, et qu'il ne bénéfice d'aucun titre de séjour en Suisse, partant de droit à y résider et travailler. Cela étant, l'intérêt public de la Suisse à l'expulsion de l'appelant prime largement son intérêt privé à y demeurer. En effet, l'appelant a passé plus de 20 ans sur le territoire helvétique dans l'illégalité. Il a été condamné à cinq reprises depuis 2007, dont trois fois pour des infractions identiques à celles à l'origine de la présente procédure, qui aboutira à sa sixième condamnation. Il a chaque fois porté atteinte à de nombreux biens juridiques protégés. Ni le sursis qui lui a été accordé en 2007, ni les libérations conditionnelles dont il a bénéficié en 2011 et 2017 ne l'ont dissuadé de récidiver. Il a ainsi trahi à de multiples reprises la confiance qui lui avait été accordée par les autorités suisses et s'en est montré indigne. Seul le constat d'un solide et durable ancrage dans la délinquance s'impose s'agissant de l'appelant, étant mis en évidence que ce dernier est le seul responsable de cette situation. 4.5.6. Il s'ensuit que les conditions de la clause de rigueur ne sont pas réalisées (66a al. 2 CP) et qu'il se justifie de prononcer l'expulsion de l'appelant du territoire suisse. 4.5.7. La durée de celle-ci (sept ans), tout comme son signalement dans le SIS, apparaissent proportionnés et justifiés en regard de la gravité de sa faute et de la menace que l'appelant représente pour l'ordre juridique suisse.</w:t>
      </w:r>
    </w:p>
    <w:p>
      <w:r>
        <w:rPr>
          <w:b/>
        </w:rPr>
        <w:t>E. 5</w:t>
      </w:r>
    </w:p>
    <w:p>
      <w:r>
        <w:t>Les addictions, plaidées par la défense, n'étaient pas établies, pas plus que leur influence sur les agissements de l'appelant, il n'y a pas lieu de prononcer une mesure au sens de l'art. 63 CP, dont les conditions ne sont pas réalisées.</w:t>
      </w:r>
    </w:p>
    <w:p>
      <w:r>
        <w:t>L'appel sera également rejeté sur ce point.</w:t>
      </w:r>
    </w:p>
    <w:p>
      <w:r>
        <w:rPr>
          <w:b/>
        </w:rPr>
        <w:t>E. 6.1</w:t>
      </w:r>
    </w:p>
    <w:p>
      <w:r>
        <w:t>L'appelant, qui succombe, supportera l'intégralité des frais de la procédure d'appel envers l'État, y compris un émolument d'arrêt de CHF 4'000.- (art. 428 al. 1 CPP).</w:t>
      </w:r>
    </w:p>
    <w:p>
      <w:r>
        <w:rPr>
          <w:b/>
        </w:rPr>
        <w:t>E. 6.2</w:t>
      </w:r>
    </w:p>
    <w:p>
      <w:r>
        <w:t>Vu l'issue de la procédure d'appel, la répartition des frais de la procédure préliminaire et de première instance ne sera pas revue (art. 428 al. 3 CPP).</w:t>
      </w:r>
    </w:p>
    <w:p>
      <w:r>
        <w:rPr>
          <w:b/>
        </w:rPr>
        <w:t>E. 7.1</w:t>
      </w:r>
    </w:p>
    <w:p>
      <w:r>
        <w:t>Selon l'art. 135 al. 1 CPP, le défenseur d'office est indemnisé conformément au tarif des avocats de la Confédération ou du canton du for du procès. Selon l'art. 16 al. 1 du Règlement sur l'assistance juridique (RAJ), l'indemnité, en matière pénale, est calculée selon le tarif horaire suivant, débours de l'étude inclus : avocat stagiaire CHF 110.- (let. a) ; collaborateur CHF 150.- (let. b) ; chef d'étude CHF 200.- (let. c).</w:t>
      </w:r>
    </w:p>
    <w:p>
      <w:r>
        <w:t>- 43/50 - P/140/2020</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idoines.</w:t>
      </w:r>
    </w:p>
    <w:p>
      <w:r>
        <w:rPr>
          <w:b/>
        </w:rPr>
        <w:t>E. 7.4</w:t>
      </w:r>
    </w:p>
    <w:p>
      <w:r>
        <w:t>En l'occurrence, il convient de retrancher de l'état de frais du défenseur d'office le temps afférent à la rédaction de la déclaration d'appel (0.5 heure d'activité de collaboratrice et 1.5 heures de travail de chef d'étude), dite activité étant couverte par le forfait, étant rappelé que cet acte n'a pas besoin d'être motivé.</w:t>
      </w:r>
    </w:p>
    <w:p>
      <w:r>
        <w:t>- 44/50 - P/140/2020</w:t>
      </w:r>
    </w:p>
    <w:p>
      <w:r>
        <w:t>Compte tenu du fait que seule la peine et l'expulsion demeuraient contestées au stade de l'appel, sans compter que la situation de l'appelant n'a que peu évolué depuis les premiers débats, le temps consacré par le chef d'étude et sa collaboratrice à l'étude du dossier (et de divers documents) et à la préparation des débats sera ramené à 12 heures, respectivement quatre heures, volume important mais demeurant acceptable vu l'envergure du dossier et les documents produits en appel.</w:t>
      </w:r>
    </w:p>
    <w:p>
      <w:r>
        <w:t>La durée des débats d'appel (8.5 heures lecture du dispositif incluse) sera ajoutée au tarif du chef d'étude, comme sollicité dans l'état de frais, une double présence aux débats ne s'étant pas imposée.</w:t>
      </w:r>
    </w:p>
    <w:p>
      <w:r>
        <w:t>En conclusion, la rémunération sera arrêtée à CHF 7'049.10 correspondant à 26.5 heures d'activité au tarif de CHF 200.-/heure (CHF 5'300.-), quatre heures d'activité au tarif de CHF 150.-/heure (CHF 600.-) et 0.5 heures d'activité au tarif de CHF 110.-/heure (CHF 55.-) plus la majoration forfaitaire de 10% (vu l'activité déjà indemnisée) (CHF 595.50) plus le forfait de déplacement aux débats (deux fois CHF 100.-) et l'équivalent de la TVA au taux de 8.1% en CHF 498.60. * * * * *</w:t>
      </w:r>
    </w:p>
    <w:p>
      <w:r>
        <w:t>- 45/50 - P/140/2020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