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AARP/196/2011 vom 5. Dezember 2011</w:t>
      </w:r>
    </w:p>
    <w:p>
      <w:r>
        <w:t>GE Cour de justice, 2011-12-05, FR</w:t>
      </w:r>
    </w:p>
    <w:p>
      <w:r>
        <w:rPr>
          <w:b/>
        </w:rPr>
        <w:t xml:space="preserve">Quelle: </w:t>
      </w:r>
      <w:r>
        <w:t>https://mcp.opencaselaw.ch/entscheid/ge_gerichte_AARP_196_2011</w:t>
      </w:r>
    </w:p>
    <w:p>
      <w:r>
        <w:t>FR: GE_GERICHTE AARP/196/2011 du 5 décembre 2011</w:t>
      </w:r>
    </w:p>
    <w:p>
      <w:r>
        <w:t>IT: GE_GERICHTE AARP/196/2011 del 5 dicembre 2011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w:t>
      </w:r>
    </w:p>
    <w:p>
      <w:r>
        <w:rPr>
          <w:b/>
        </w:rPr>
        <w:t>E. 2.1</w:t>
      </w:r>
    </w:p>
    <w:p>
      <w:r>
        <w:t>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w:t>
      </w:r>
    </w:p>
    <w:p>
      <w:r>
        <w:t>- 11/18 - P/16263/2010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2.2.1 L'art. 19 ch. 1 LStup, dans sa teneur jusqu'au 30 juin 2011, vise celui qui, sans droit, entrepose, transporte, importe, offre, distribue, vend, procure, cède, possède, détient, achète ou acquiert d’une autre manière des stupéfiants. Le cas est grave notamment lorsque l'auteur sait ou ne peut ignorer que l'infraction porte sur une quantité de stupéfiants qui peut mettre en danger la santé de nombreuses personnes (art. 19 ch. 2 let. a LStup). S'agissant de l'héroïne, la jurisprudence retient qu'il y a cas grave au sens de l'art. 19 ch. 2 let. a LStup lorsque le trafic porte sur 12 gr. de drogue pure (ATF 119 IV 180 ; arrêt du Tribunal fédéral 6B_908/2008 du 5 février 2009 consid. 4.1 ; B. CORBOZ, Les infractions en droit suisse, 3e édition, Berne 2010, vol. II, n. 81 ad art. 19 LStup). Si l'auteur commet plusieurs actes distincts, les quantités qui en sont l'objet doivent être additionnées (ATF 112 IV 109 consid. 2b p. 113). 2.2.2 Le 1er juillet 2011 est entrée en vigueur la modification du 20 mars 2008 de la LStup (RO 2009 2623, 2011 2559, FF 2006 8141, 8211). L'ancien art. 19 ch. 2 let. a LStup est devenu l'art. 19 al. 2 let. a LStup qui stipule que l'auteur de l'infraction est puni d'une peine privative de liberté d'un an au moins, pouvant être cumulée avec une peine pécuniaire, s'il sait ou ne peut ignorer que l'infraction peut directement ou indirectement mettre en danger la santé de nombreuses personnes. L'ancien droit parlait de la quantité de stupéfiants, mais le nouveau droit ne la mentionne plus, motif pris que le danger que représente un stupéfiant ne dépend pas seulement de ce critère, mais aussi d'autres facteurs tels que le risque d'overdose, la forme d'application ou le mélange avec d'autres drogues (FF 2006 p. 8178). Il est donc clair que la notion de quantité, si elle n'est plus exprimée, ne disparaît pas pour autant. Pour apprécier le danger, on ne peut pas faire abstraction de la quantité en cause. Le législateur a voulu, dans le sens d'un durcissement, permettre de retenir aussi un cas aggravé lorsque le danger résulte de la remise à des consommateurs d'une drogue particulièrement pure ou d'un mélange particulièrement dangereux (B. CORBOZ, op. cit., n. 80 ad art. 19 LStup). 2.2.3 En l'espèce, les faits reprochés à l'appelant ont été commis en 2010, soit sous l'empire de l'ancien droit, lequel demeure applicable dans la mesure où le nouveau droit ne lui est pas plus favorable (art. 2 al. 2 CP a contrario).</w:t>
      </w:r>
    </w:p>
    <w:p>
      <w:r>
        <w:t>- 12/18 - P/16263/2010</w:t>
      </w:r>
    </w:p>
    <w:p>
      <w:r>
        <w:rPr>
          <w:b/>
        </w:rPr>
        <w:t>E. 2.3</w:t>
      </w:r>
    </w:p>
    <w:p>
      <w:r>
        <w:t>Les arguments dont se prévaut l'appelant tiennent principalement au manque de fiabilité découlant des déclarations des témoins toxicomanes. Soit qu'ils se soient exprimés en état de manque soit que, d'une manière générale et eu égard à leur confusion mentale, ces témoins ne soient pas aptes à fournir des informations précises et fiables. Les témoins sur lesquels s'est appuyé l'accusation ont pourtant fourni des renseignements constants et convergents, en plus d'être conformes pour une large part aux observations de la police. Au chapitre des constantes figurent la présence de l'appelant depuis le printemps 2010, d'abord seul puis, dans les derniers temps, accompagné d'une jeune femme, l'utilisation d'un véhicule de couleur foncée de type monospace, la proximité géographique avec le quartier de Plainpalais, l'utilisation d'un numéro téléphonique qui a changé sur la fin de la relation, le même numéro pour chacun et pour la même période, etc. Ce sont autant d'indices qui vont dans le sens d'une crédibilité de ces témoignages, sans que les témoins, comme l'un d'entre eux l'a dit, n'aient été incités à "gonfler" les chiffres de vente. Les témoignages ont beau émaner de consommateurs de drogue, ils n'en sont pas pour autant fantaisistes. Leur identification s'est faite sur la base de l'analyse des contrôles téléphoniques. A eux seuls ces toxicomanes ont eu plusieurs centaines de contacts avec un numéro de téléphone portable dont tous se sont accordés à dire qu'il leur permettait d'atteindre leur fournisseur d'héroïne en la personne de l'appelant. Ce numéro a comptabilisé en l'espace de quatre mois près de 8'000 contacts téléphoniques, ce qui est significatif de l'intensité de l'activité délinquante de l'appelant. Celui-ci en était bien l'utilisateur, puisque le téléphone portable trouvé dans sa chambre a contenu la carte SIM correspondant à ce numéro et que le téléphone était au surplus accessible dans sa voiture. Fin septembre 2010, les acheteurs ont été informés d'un changement de numéro d'appel pour les achats d'héroïne, ce qui est confirmé par le témoin D______ et le papier manuscrit saisi sur lui, ainsi que par les sms d'information que les acheteurs ont reçus. Le chiffre inférieur des contacts téléphoniques répertoriés sous le nouveau numéro d'appel constitue la preuve d'un raccordement nouvellement mis en service. Ce changement de numéro coïncide, dans le courant de la seconde quinzaine de septembre 2010, avec l'apparition de l'amie de l'appelant dans le trafic. Sa présence a eu pour effet de le placer au second plan, et par voie de conséquence de lui permettre de prendre moins de risques dans les ventes. Ils travaillaient néanmoins clairement ensemble, ainsi que cela a été déclaré au témoin J______ pour la rassurer. La présence en première ligne de la jeune femme, observée par la police, a trouvé confirmation dans les remarques faites par les toxicomanes, tels les acheteurs B______ et D______ pour la journée du 5 octobre 2010, ainsi que par d'autres témoins (E______, F______, G______ et J______) pour les jours précédents.</w:t>
      </w:r>
    </w:p>
    <w:p>
      <w:r>
        <w:t>- 13/18 - P/16263/2010 Les déclarations initiales de l'amie de l'appelant vont dans le même sens, puisqu'elle décrit un modus que les acheteurs ont eux-mêmes pu observer. Ainsi en va-t-il de sa seule présence sur le lieu de vente et de la remise ultérieure du produit de la transaction à l'appelant, ce qu'a confirmé à titre d'exemple le témoin J______. Dans ces circonstances, les déclarations fluctuantes qui ont suivi, avec pour effet d'accabler de préférence le dénommé Toni absent des débats, ne présentent guère de fiabilité. La présence de ce tiers est certes mentionnée dans les premières déclarations de l'amie de l'appelant, mais avec un rôle qui s'efface au profit de celui joué par l'appelant. Il est fortement douteux que ce Toni, pour autant que son rôle ait été celui décrit, ait pris une place déterminante dans le trafic, dès lors que seul un témoin (H______) parle de la présence active d'un tiers, sans même savoir s'il s'agit du nommé Toni. D'autres éléments plaident en faveur de la culpabilité de l'appelant, telle l'activation des bornes téléphoniques chaque matin et chaque soir à proximité immédiate de son domicile, et cela pour les trois raccordements téléphoniques analysés, ce qui démontre que l'appelant en était l'utilisateur attitré. Un autre indice difficilement contournable tient en la découverte du profil ADN de l'appelant sur un nœud des sachets contenant des minigrips d'héroïne. L'explication fournie par l'appelant doit à cet égard être tenue pour hautement fantaisiste et dépourvue de toute crédibilité. D'autres explications fournies ne sont pas probantes, tels la remise d'argent par son amie pour qu'elle puisse "s'acheter des choses", la nécessité de disposer d'argent en petites coupures pour faire ses paiements ou les contacts avec les toxicomanes pour d'autres motifs plus avouables, ce que contredisent les témoins B______ et G______ et la saisie de drogue opérée sur C______. Au regard de l'ensemble de ces éléments, il doit être admis avec un degré de certitude suffisant que l'appelant a intentionnellement participé au trafic de drogue. Sa culpabilité doit ainsi être confirmée au-delà de tout doute raisonnable.</w:t>
      </w:r>
    </w:p>
    <w:p>
      <w:r>
        <w:rPr>
          <w:b/>
        </w:rPr>
        <w:t>E. 2.4</w:t>
      </w:r>
    </w:p>
    <w:p>
      <w:r>
        <w:t>Même avec un taux de pureté de la drogue de l'ordre de 10 %, la quantité d'héroïne vendue - environ 400 g - constitue un cas grave. L'appelant sera donc reconnu coupable de ventes d'héroïne au sens du chiffre A I.1 de l'acte d'accusation, lesquelles sont constitutives de violation grave de la LStup.</w:t>
      </w:r>
    </w:p>
    <w:p>
      <w:r>
        <w:rPr>
          <w:b/>
        </w:rPr>
        <w:t>E. 3</w:t>
      </w:r>
    </w:p>
    <w:p>
      <w:r>
        <w:t>3.1.1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Même si la quantité de la drogue ne joue pas un rôle prépondérant, elle constitue sans conteste un élément important. Elle perd cependant de l'importance au fur et à mesure que l'on s'éloigne de la limite à partir de laquelle le cas doit être considéré comme</w:t>
      </w:r>
    </w:p>
    <w:p>
      <w:r>
        <w:t>- 14/18 - P/16263/2010 grave au sens de l'art. 19 ch. 2 lit. a LStup.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299consid. 2b p. 301). Il faudra enfin tenir compte des antécédents, qui comprennent aussi bien les condamnations antérieures que les circonstances de la vie passée. 3.1.2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w:t>
      </w:r>
    </w:p>
    <w:p>
      <w:r>
        <w:rPr>
          <w:b/>
        </w:rPr>
        <w:t>E. 3.2</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L'art. 43 al. 1 CP permet par ailleurs de suspendre partiellement l'exécution d'une peine privative de liberté d'un an au moins et de trois ans au plus afin de tenir compte de façon appropriée de la faute de l'auteur. La partie à exécuter ne peut excéder la</w:t>
      </w:r>
    </w:p>
    <w:p>
      <w:r>
        <w:t>- 15/18 - P/16263/2010 moitié de la peine (al. 2). En cas de sursis partiel à l'exécution d'une peine privative de liberté, la partie suspendue, de même que la partie à exécuter, doivent être de six mois au moins (al. 3). Pour l'octroi du sursis ou du sursis partiel,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nouveau droit pose des exigences moins élevées quant au pronostic pour l'octroi du sursis, dans le sens où il suffit désormais qu'il n'y ait pas de pronostic défavorable. Le sursis est désormais la règle dont on ne peut s'écarter qu'en présence d'un pronostic concrètement défavorable. Il prime en cas d'incertitude (ATF 134 IV 1).</w:t>
      </w:r>
    </w:p>
    <w:p>
      <w:r>
        <w:rPr>
          <w:b/>
        </w:rPr>
        <w:t>E. 3.3</w:t>
      </w:r>
    </w:p>
    <w:p>
      <w:r>
        <w:t>En l'espèce, l'appelant, au-delà des ventes directes ou médiates auxquelles il s'est livré, a joué un rôle important dans le trafic qui s'est étendu sur plusieurs mois. Il n'a pas hésité à reprendre une activité délinquante quelques semaines après sa sortie de prison. Les quantités vendues, qui ne sont pas négligeables, démontrent qu'il avait la confiance de ses fournisseurs et un réseau d'acheteurs dense. Ses mobiles sont égoïstes dans la mesure où il a agi par appât du gain, étant précisé qu'il tirait la quasi totalité de ses revenus de son trafic. Il a profité de la crédulité de son amie, qui croyait avoir trouvé en lui une manière d'assurer sa consommation à bon compte. L'appelant a fait l'objet de deux précédentes condamnations, dont l'une toute récente sur des faits pour partie similaires. Son comportement tout au long de la procédure et au moment de l'audience d'appel démontre qu'il n'a pas pris conscience de la gravité de ses actes. Il n'a eu de cesse de nier avoir été impliqué dans un trafic de stupéfiants et n'a exprimé aucun regret. Dans ces conditions, un pronostic défavorable doit être établi, si bien qu'une peine ferme est nécessaire pour le détourner d'autres crimes ou délits. Le principe d'une peine complémentaire doit être confirmé, les faits à la base de la présente cause étant antérieurs au prononcé de l'arrêt du 31 janvier 2011. Sa quotité ne doit pas être réduite à la suite de l'abandon par le Ministère public d'une partie de l'accusation. Comme cela ressort du jugement attaqué, les premiers juges semblent avoir négligé une partie de l'accusation ou, à tout le moins, ont cru l'avoir traitée de manière exhaustive mais l'ont écartée de leur verdict de culpabilité, ainsi que cela ressort des explications orales fournies aux parties à l'issue du procès. Quel que soit le cas de figure, les deux ans de peine privative de liberté prononcées à l'encontre de l'appelant n'incluent pas sa culpabilité pour les faits ressortant du ch. A I. 2 de l'acte d'accusation. Il n'y a donc aucun motif de réduire la peine, une peine inférieure à deux ans apparaissant en tout état inadaptée à la gravité de la faute commise.</w:t>
      </w:r>
    </w:p>
    <w:p>
      <w:r>
        <w:t>- 16/18 - P/16263/2010</w:t>
      </w:r>
    </w:p>
    <w:p>
      <w:r>
        <w:rPr>
          <w:b/>
        </w:rPr>
        <w:t>E. 4.1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2 CP).</w:t>
      </w:r>
    </w:p>
    <w:p>
      <w:r>
        <w:rPr>
          <w:b/>
        </w:rPr>
        <w:t>E. 4.2</w:t>
      </w:r>
    </w:p>
    <w:p>
      <w:r>
        <w:t>La question de la confiscation du véhicule utilisé par l'appelant pour son trafic de stupéfiants pourrait se poser sur le plan théorique, encore que le moyen de transport n'a pas constitué le facteur décisif pour la réalisation de ses ventes d'héroïne. En l'espèce, la question n'a pas à se poser puisque l'accusation s'est désintéressée du sort de ce véhicule jusqu'à l'interpellation formelle du Président de la Cour en audience d'appel. La confiscation n'a pas été sollicitée en première instance ni spontanément en appel. Dans ces circonstances, le Ministère public n'est pas habilité à solliciter la confiscation de ce bien mobilier, qu'il convient de restituer à l'appelant, frais à sa charge, même si celui-ci avait omis d'en solliciter la restitution.</w:t>
      </w:r>
    </w:p>
    <w:p>
      <w:r>
        <w:rPr>
          <w:b/>
        </w:rPr>
        <w:t>E. 5</w:t>
      </w:r>
    </w:p>
    <w:p>
      <w:r>
        <w:t>L'appelant, qui succombe, supportera les frais de la procédure envers l'État (art. 428 CPP). * * * * *</w:t>
      </w:r>
    </w:p>
    <w:p>
      <w:r>
        <w:t>- 17/18 - P/16263/2010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