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AARP/195/2014 vom 16. April 2014</w:t>
      </w:r>
    </w:p>
    <w:p>
      <w:r>
        <w:t>GE Cour de justice, 2014-04-16, FR</w:t>
      </w:r>
    </w:p>
    <w:p>
      <w:r>
        <w:rPr>
          <w:b/>
        </w:rPr>
        <w:t xml:space="preserve">Quelle: </w:t>
      </w:r>
      <w:r>
        <w:t>https://mcp.opencaselaw.ch/entscheid/ge_gerichte_AARP_195_2014</w:t>
      </w:r>
    </w:p>
    <w:p>
      <w:r>
        <w:t>FR: GE_GERICHTE AARP/195/2014 du 16 avril 2014</w:t>
      </w:r>
    </w:p>
    <w:p>
      <w:r>
        <w:t>IT: GE_GERICHTE AARP/195/2014 del 16 aprile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w:t>
      </w:r>
    </w:p>
    <w:p>
      <w:r>
        <w:t>- 7/14 - P/7423/2013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2.2.1 Les actes visés par l'art. 19 al.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 complicité implique que l'assistance prêtée à autrui en vue d'une infraction se limite à une contribution subalterne ne constituant pas elle-même une infraction sui generis. Tel est, par exemple, le cas de celui qui met à disposition un véhicule pour le transport de stupéfiants, qui aide à aménager une cachette dans une voiture (ATF 106 IV 72 consid. b p. 73) ou qui tient le volant d'un véhicule en panne sachant qu'il y a de la drogue à bord (ATF 113 IV 90 consid. 2 p. 90 ss.).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w:t>
      </w:r>
    </w:p>
    <w:p>
      <w:r>
        <w:t>- 8/14 - P/7423/2013 2.2.2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3e édition, Berne 2010, vol. II, n. 81 p. 917).</w:t>
      </w:r>
    </w:p>
    <w:p>
      <w:r>
        <w:rPr>
          <w:b/>
        </w:rPr>
        <w:t>E. 2.3</w:t>
      </w:r>
    </w:p>
    <w:p>
      <w:r>
        <w:t>Les conclusions prises par l'appelant ne sauraient être suivies. Plusieurs éléments fondent une participation qui va bien au-delà d'un rôle subalterne. La livraison et l'ingestion des stupéfiants ont eu lieu au domicile commun du couple. C'est certainement parce que l'intimée voulait éviter les conséquences qui en découlaient pour son mari qu'elle a menti initialement, en situant cet épisode au domicile d'une amie. L'appelant n'était certes pas enthousiaste à l'idée de ce transport, mais il a néanmoins fini par y adhérer. Ainsi sa femme parle-t-elle bien du fait qu'"ils étaient économiquement obligés de le faire". L'appelant n'a d'ailleurs pas caché que la rémunération prévue pouvait alléger leur situation financière délicate, en leur permettant notamment de s'acquitter de factures courantes. En acceptant d'avancer le prix du billet d'avion avec sa propre carte de crédit, alors même que sa femme en disposait d'une, l'appelant a démontré qu'il avait fini par surmonter ses réticences initiales, faisant sien le projet de son épouse. Preuves en sont les nombreux échanges téléphoniques avec le fournisseur de la drogue, avant et après la livraison, dont rien ne permet de conclure qu'ils ne lui étaient pas destinés, en tout ou partie. Il est difficile en tout état d'imaginer plausible qu'à chaque fois que le fournisseur voulait atteindre l'intimée, celle-ci se soit retrouvée à un endroit non couvert par le réseau téléphonique. S'ajoute encore l'épisode du paquet de chips que l'appelant détenait effectivement, aucun élément ne permettant de douter du récit détaillé fourni par les gardes-frontières. Ce n'est en tout cas pas la prétendue existence de deux paquets de chips qui change la donne à cet égard, cette révélation tardive ne devant être prise que comme une tentative désespérée de dédouaner l'appelant. Mais l'indice le plus probant du partage des responsabilités de l'appelant avec son épouse tient à sa connaissance des quantités transportées et de la rémunération prévue. Même si l'appelant avait appris que les doigts de cocaïne expulsés totalisaient 70 grammes, il n'allègue pas avoir eu connaissance par une source externe, telle la police, du nombre d'ovules ingérés par son épouse. La police en</w:t>
      </w:r>
    </w:p>
    <w:p>
      <w:r>
        <w:t>- 9/14 - P/7423/2013 aurait d'ailleurs été incapable, l'audition de l'appelant ayant eu lieu pendant que l'intimée était conduite à l'hôpital pour l'expulsion des doigts de cocaïne. Le fait qu'il n'ait pas assisté à l'ingestion des ovules n'empêche en rien que l'intimée lui ait révélé la vérité le matin du départ en avion. Le seul hasard ne saurait en tout cas pas valablement expliquer la précision avec laquelle l'appelant a évalué la quantité de drogue transportée, ainsi qu'il l'allègue. Au vu de ce qui précède, il convient de retenir que l'appelant a bien agi par coactivité avec son épouse et qu'il était au courant des quantités de stupéfiants transportées, ce qui rend justifié la culpabilité retenue pour infraction grave à la LStup, plus de 170 grammes purs de cocaïne remplissant les conditions de l'aggravante. Le jugement du Tribunal correctionnel sera ainsi confirmé sur ce point.</w:t>
      </w:r>
    </w:p>
    <w:p>
      <w:r>
        <w:rPr>
          <w:b/>
        </w:rPr>
        <w:t>E. 3.1</w:t>
      </w:r>
    </w:p>
    <w:p>
      <w:r>
        <w:t>Selon l'art. 47 du Code pénal suisse, du 21 septembre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w:t>
      </w:r>
    </w:p>
    <w:p>
      <w:r>
        <w:t>- 10/14 - P/7423/2013 proportionnée à la faute (arrêts du Tribunal fédéral 6B_633/2007 du 30 novembre 2007 consid. 4.1 et 6B_673/2007 du 15 février 2008 consid. 3.1.).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w:t>
      </w:r>
    </w:p>
    <w:p>
      <w:r>
        <w:t>- 11/14 - P/7423/2013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La peine peut être atténuée dans les cas d'infraction à l'art. 19 al. 2 LStup si l'auteur est dépendant et que cette infraction aurait dû servir au financement de sa propre consommation de stupéfiants (…) (FF 2006 8179).</w:t>
      </w:r>
    </w:p>
    <w:p>
      <w:r>
        <w:rPr>
          <w:b/>
        </w:rPr>
        <w:t>E. 3.3</w:t>
      </w:r>
    </w:p>
    <w:p>
      <w:r>
        <w:t>La faute de l'appelant apparaît lourde, son rôle consistant à s'assurer de la bonne exécution d'un transport de cocaïne entre l'C______ et la Suisse susceptible d'apporter à son couple un soulagement sur le plan financier. Sa présence aux côtés de son épouse avait assurément pour but de ne pas attirer l'attention des services de la douane, de manière à passer pour un couple ordinaire en visite touristique. Il a agi par appât de gain, que la rémunération soit pour partie utilisée pour venir en aide au fils de l'intimée ne changeant rien au but recherché. Sa collaboration a été moyenne, l'appelant cherchant à minimiser son rôle dans le trafic en essayant de se faire passer pour un participant subalterne, quitte à charger son épouse aux fins de tenter, par effet de miroir, d'abréger sa détention. Son absence d'antécédent spécifique, qui a d'ailleurs un effet neutre sauf exception non réalisée ici (ATF 136 IV 1 consid. 2.6), n'est pas de nature à contrebalancer de manière significative les éléments à charge susmentionnés. Ses excuses peinent à convaincre d'une véritable prise de conscience. Pour le surplus, aucun élément n'autorise la juridiction d'appel à douter des difficultés matérielles et familiales du couple, sans que cette réalité n'atténue de façon déterminante l'importance de la faute commise. La peine à laquelle l'appelant a été condamné est conforme à la gravité de sa faute. Elle est aussi adaptée en comparaison de celle infligée à son épouse, les deux partenaires ayant agi par coactivité dans un seul transport effectué en commun et sans aucun antécédent avéré en matière de violation de la LStup. Dans cette mesure, le fait que l'appelant n'ait pas lui-même ingéré les doigts de cocaïne n'a aucune incidence favorable sur la quotité de la peine, bien au contraire même. Ainsi la sanction infligée, qui tient compte de manière appropriée de la culpabilité de l'appelant, ne saurait être réduite, de sorte que le sursis complet n'a pas à être examiné.</w:t>
      </w:r>
    </w:p>
    <w:p>
      <w:r>
        <w:t>- 12/14 - P/7423/2013 Au surplus, la partie ferme de la peine est adaptée à la gravité de la faute, à l'instar du délai d'épreuve qui a été judicieusement fixé à trois ans. L'appelant n'a d'ailleurs pas formellement contesté la quotité de la partie ferme de la peine prononcée par les premiers juges. Le jugement entrepris sera par conséquent également confirmé sur la peine.</w:t>
      </w:r>
    </w:p>
    <w:p>
      <w:r>
        <w:rPr>
          <w:b/>
        </w:rPr>
        <w:t>E. 4</w:t>
      </w:r>
    </w:p>
    <w:p>
      <w:r>
        <w:t>Les motifs ayant conduit le premier juge à prononcer, par ordonnance séparée du 16 décembre 2013,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supportera les frais de la procédure d'appel (art. 428 CPP), lesquels comprennent une indemnité de procédure de CHF 2'000. – (art. 14 al. 1 let. c du règlement fixant le tarif des frais en matière pénale, E 4 10.03). * * * * *</w:t>
      </w:r>
    </w:p>
    <w:p>
      <w:r>
        <w:t>- 13/14 - P/7423/2013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