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AARP/194/2017 vom 8. Juni 2017</w:t>
      </w:r>
    </w:p>
    <w:p>
      <w:r>
        <w:t>GE Cour de justice, 2017-06-08, FR</w:t>
      </w:r>
    </w:p>
    <w:p>
      <w:r>
        <w:rPr>
          <w:b/>
        </w:rPr>
        <w:t xml:space="preserve">Quelle: </w:t>
      </w:r>
      <w:r>
        <w:t>https://mcp.opencaselaw.ch/entscheid/ge_gerichte_AARP_194_2017</w:t>
      </w:r>
    </w:p>
    <w:p>
      <w:r>
        <w:t>FR: GE_GERICHTE AARP/194/2017 du 8 juin 2017</w:t>
      </w:r>
    </w:p>
    <w:p>
      <w:r>
        <w:t>IT: GE_GERICHTE AARP/194/2017 del 8 giugno 2017</w:t>
      </w:r>
    </w:p>
    <w:p>
      <w:pPr>
        <w:pStyle w:val="Heading2"/>
      </w:pPr>
      <w:r>
        <w:t>Erwägungen</w:t>
      </w:r>
    </w:p>
    <w:p>
      <w:r>
        <w:rPr>
          <w:b/>
        </w:rPr>
        <w:t>E. 1</w:t>
      </w:r>
    </w:p>
    <w:p>
      <w:r>
        <w:t>1.1.1. L'appel est recevable pour avoir été interjeté et motivé selon la forme et dans les délais prescrits (art. 398 et 399 CPP).</w:t>
      </w:r>
    </w:p>
    <w:p>
      <w:r>
        <w:t>- 8/25 - P/6847/2015</w:t>
      </w:r>
    </w:p>
    <w:p>
      <w:r>
        <w:t>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t>1.2.1. L'art. 398 al. 3 CPP n'a pas de portée autonome par rapport à l'art. 398 al. 2 CPP mais bien plutôt une fonction d'explication et d'illustration de l'objet de l'appel. Les motifs énoncés à l'art. 398 al. 3 CPP reprennent ceux prévus à l'art. 393 al. 2 CPP (M. DUPUIS et al. [éds], Code pénal - Petit commentaire, Bâle 2012, n. 23 et 24 ad art. 398). Les termes allemand et italien figurant à l'art. 393 al. 2 let. c CPP ne correspondent pas exactement, ou uniquement, à la notion d'inopportunité, mais plutôt à celle d'inadéquation ou de disproportion, soit des termes plus étroits que la très large notion d'opportunité, qui a trait au choix entre plusieurs solutions s'offrant à l'autorité compétente, toutes conformes au droit (T. TANQUEREL, Manuel de droit administratif, Genève 2011, p. 172 n. 519 ss et p. 306 n. 892 ; ACPR/162/2012 du 25 avril 2012). Le grief d'inopportunité paraît surtout s'entendre d'une faute d'appréciation ("Ermessensfehler" ; N. SCHMID, Schweizerische Strafprozessordnung : Praxiskommentar, 2ème éd., Zurich 2013, n. 17 ad art. 393 ; ACPR/568/2014 du 2 décembre 2014). 1.2.2. L'appelante fait valoir que le jugement est "clairement inopportun", dans la mesure où sa condamnation est "loin d'aider les parties à maintenir des relations cordiales et respectueuses", et, au contraire, susceptible "de raviver les tensions", ce qui devrait mener à son acquittement. Ce grief n'a pas de portée propre, dans la mesure où il se recoupe avec l'examen des conditions légales des articles du code pénal examinés aux considérants qui suivent.</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2.2.2.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w:t>
      </w:r>
    </w:p>
    <w:p>
      <w:r>
        <w:t>- 11/25 - P/6847/2015 6B_109/2014 du 25 septembre 2014 consid. 2.1 et 6B_398/2013 du 11 juillet 2013 consid. 2.1).</w:t>
      </w:r>
    </w:p>
    <w:p>
      <w:r>
        <w:t>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et 6B_626/2008 du 11 novembre 2008 consid. 2.1 et les références).</w:t>
      </w:r>
    </w:p>
    <w:p>
      <w:r>
        <w:t>2.2.3. Les constellations "déclaration contre déclaration", dans lesquelles les déclarations de la présumée victime en tant que principal élément à charge et déclaration contradictoire de la personne accusée s’opposent, ne doivent pas nécessairement ou seulement très vraisemblablement, sur la base du principe "in dubio pro reo", conduire à un acquittement. L’appréciation définitive des déclarations des participants incombe au juge du fond (ATF 137 IV 122 = JdT 2012 IV p. 79).</w:t>
      </w:r>
    </w:p>
    <w:p>
      <w:r>
        <w:t>2.3.1. 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Le chiffre 2 de l’article 123 CP décrit différents cas aggravés de lésions corporelles simples dont les particularités se situent au niveau de la mise en œuvre qui intervient d’office et non sur plainte, notamment si le délinquant a fait usage d'un objet dangereux (al. 1) ou si l'auteur est le conjoint de la victime et que l'atteinte a été commise durant le mariage ou dans l'année qui a suivi le divorce (al. 3). L'art. 123 CP réprime les lésions du corps humain ou de la santé qui ne peuvent être qualifiées de graves au sens de l'art. 122 CP. Elle protège l'intégrité corporelle et la santé tant physique que psychique. Les lésions corporelles sont une infraction de résultat qui implique une atteinte importante aux biens juridiques ainsi protégés (ATF 134 IV 189 consid. 1.1 p. 191 ; ATF 135 IV 152 consid 2.1.1 p. 154). Sont concernées en premier lieu les blessures, la jurisprudence citant, à titre d'exemples, les contusions, meurtrissures, écorchures ou griffures, dans la mesure où il y a véritablement lésions et que ces dernières représentent davantage qu'un trouble passager et sans importance, en termes de bien-être (ATF 134 IV 189 consid. 1.1. p. 191 ; ATF 107 IV 40 consid. 5c p. 42 ; ATF 103 IV 65 consid. 2c p. 70). Un coup de</w:t>
      </w:r>
    </w:p>
    <w:p>
      <w:r>
        <w:t>- 12/25 - P/6847/2015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La distinction entre lésions corporelles et voies de fait peut s'avérer délicate. Une éraflure au nez avec contusion a été considérée comme une voie de fait ; de même une meurtrissure au bras et une douleur à la mâchoire sans contusion (ATF 134 IV 189 consid. 1.3 p. 191 s. ; ATF 119 IV 25 consid. 2a p. 26/27). En revanche, des tuméfactions et rougeurs dans la région du sourcil et de l'oreille d'une grosseur d'environ 2 x 5 centimètres,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La question peut parfois être résolue par l'application de l'art. 123 ch. 1 al. 2 CP, qui permet une atténuation libre de la peine dans les cas de peu de gravité (ATF 127 IV 59 consid. 2a/b = JdT 2003 IV 151 ; ATF 119 IV 25 consid. 2a p. 27). La notion de lésions corporelles simples est une notion juridique indéterminée, de sorte que le juge du fait dispose, dans les cas limites notamment, d'une certaine marge d'appréciation (ATF 134 IV 189 consid. 1.3. p. 191 s. ; ATF 119 IV 25 consid. 2a p. 27 et les références). 2.3.2. Aux termes de l'art. 177 al. 1 CP, celui qui, de toute autre manière, aura, par la parole, l'écriture, l'image, le geste ou par des voies de fait, attaqué autrui dans son honneur sera, sur plainte, puni d'une peine pécuniaire de 90 jours-amende au plus.</w:t>
      </w:r>
    </w:p>
    <w:p>
      <w:r>
        <w:t>L'honneur que protègent les art. 173 ss CP est le sentiment d'être une personne honnête et respectable, c'est-à-dire de se comporter comme un individu digne a coutume de le faire selon les conceptions généralement reçues et, par conséquent, le droit de ne pas être méprisé en tant qu'être humain (ATF 132 IV 112 consid. 2.1 p. 115 ; ATF 128 IV 53 consid. 1a p. 58 ; ATF 114 IV 14 consid. 2a p. 15 et les références). L'honneur protégé par le droit pénal est conçu de façon générale comme un droit au respect, qui est lésé par toute assertion propre à exposer la personne visée au mépris en sa qualité d'homme (arrêt du Tribunal fédéral 6B_441/2016 du 29 mars 2017 consid. 4.1). Pour apprécier si une déclaration est attentatoire à l'honneur, il faut se fonder sur une interprétation objective selon le sens qu'un destinataire non prévenu doit, dans les circonstances d'espèce, lui attribuer (ATF 133 IV 308 consid. 8.5.1 p. 312). L'injure consiste en des jugements de valeur, adressés à des tiers ou à la victime. La notion de jugement de valeur doit être comprise dans un sens large ; il s'agit d'une</w:t>
      </w:r>
    </w:p>
    <w:p>
      <w:r>
        <w:t>- 13/25 - P/6847/2015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p. 61 et les références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 SJ 2014 I 293). Traiter quelqu'un de "mongol", de "bande de salauds" ou de "petit con" constituent des jugements de valeur injurieux (ATF 117 IV 270 consid. 2b p. 270 ; arrêt du Tribunal fédéral 6B_602/2009 du 29 septembre 2009 consid. 2.3 ; RJN 1980/81 p. 112). Du point de vue subjectif, il suffit que l'auteur ait eu conscience du caractère attentatoire à l'honneur de ses propos et qu'il les ait proférés néanmoins. Il n'est pas nécessaire qu'il ait eu la volonté de blesser la personne visée (ATF 119 IV 44 consid. 2a ; ATF 117 IV 270 consid. 2b p. 272). 2.4.1.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6B_600/2014 du 23 janvier 2015 consid. 5.1, non publié in ATF 141 IV 61). Celui qui est visé par la menace d'une attaque imminente contre la vie ou l'intégrité corporelle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 arrêts du Tribunal fédéral 6B_346/2016 du 31 janvier 2017 consid. 2.1.2). La légitime défense ne peut être invoquée par le provocateur, savoir celui qui fait en sorte d'être attaqué pour pouvoir porter atteinte aux biens juridiques d'autrui sous le couvert de la légitime défense (ATF 104 IV 53 consid. 2a p. 56 ; arrêt du Tribunal fédéral 6B_590/2014 du 12 mars 2015 consid. 3).</w:t>
      </w:r>
    </w:p>
    <w:p>
      <w:r>
        <w:t>- 14/25 - P/6847/2015 2.4.2. L'auteur qui se trouve en état de nécessité licite (art. 17 CP) sauvegarde un bien d'une valeur supérieure au bien lésé et agit de manière licite. En cas d'état de nécessité excusable (art. 18 CP), les biens en conflit sont de valeur égale. L'acte reste illicite, mais la faute de l'auteur est exclue ou, à tout le moins, atténuée (arrêt du Tribunal fédéral 6B_720/2007 du 29 mars 2008 consid. 5.1.1). L'auteur doit commettre l'acte punissable pour se préserver d'un danger imminent et impossible à détourner autrement. Le danger est imminent lorsqu'il est actuel et concret (ATF 122 IV 1 consid. 3a p. 5 ; arrêt du Tribunal fédéral 6B_603/2015 du 30 septembre 2015 consid. 4.2 et les références citées). L'impossibilité que le danger puisse être détourné autrement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 c p. 55 s. ; arrêts du Tribunal fédéral 6B_1056/2013 du 20 août 2014 consid. 5.1 et 6B_622/2008 du 13 janvier 2009 consid. 3.1). 2.4.3.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2011, n. 555, p. 189). 2.5.1. En l'espèce, les déclarations de l'intimé jouissent, globalement, d'une plus grande crédibilité que celles de l'appelante. En effet, il a d'emblée soutenu qu'il s'était rendu au domicile conjugal pour récupérer ses affaires, que sa femme l'avait insulté sans raison, pour le provoquer, en le traitant notamment de "sale chien" et de "fils de pute", puis qu'elle s'était jetée sur lui et l'avait étranglé, et qu'elle l'avait finalement lâché grâce à l'intervention de D______, déroulement qu'il a intégralement confirmé lors de l'audience de confrontation. Il a tenu des propos pour l'essentiel constants et détaillés, précisant qu'elle l'avait étranglé avec les deux mains autour du cou durant deux à trois minutes et qu'il avait baissé la tête pour se protéger. Il n'a pas cherché à accabler l'appelante, confirmant à l'audience de jugement que la situation générale s'était apaisée. Ce récit est corroboré par le constat médical joint à la plainte, établi le soir des faits dénoncés, qui fait notamment état de griffures et dermo abrasions sur les deux côtés du cou de la victime, séquelles qui suggèrent une prise d'étranglement d'une certaine intensité.</w:t>
      </w:r>
    </w:p>
    <w:p>
      <w:r>
        <w:t>- 15/25 - P/6847/2015 À l'inverse, l'appelante a varié dans ses explications. Elle a commencé par déclarer ne pas être en mesure de fournir d'indication au sujet des marques sur le cou de son époux. Au MP, elle a indiqué que ce dernier l'avait étranglée et qu'elle s'était défendue en l'étranglant elle aussi. L'appelante n'a cependant pas mentionné ces actes de violence dans sa demande MPUC déposée seulement trois jours après les faits. Elle prétend qu'elle n'en aurait volontairement pas parlé, pour ne pas accabler son époux, ce qui ne convainc guère, puisqu'à l'audience de jugement, elle a persisté à expliquer que l'intimé l'avait plaquée contre le mur. La prévenue a encore soutenu qu'elle avait repoussé son assaillant à mains ouvertes, à hauteur de poitrine, ce qui n'est pas compatible avec les lésions décrites dans le certificat médical, indépendamment de leur qualification ("étranglement" ou "plaquage"). Les époux ont certes tenu des propos variables au sujet des clés du domicile, mais en substance concordants, puisqu'ils ont chacun soutenu, dans un premier temps, que l'intimé ne les possédait plus, avant de prétendre que oui. Les affirmations de la prévenue selon lesquelles l'intimé serait entré de force, ou aurait refusé de quitter les lieux n'emportent pas conviction, puisqu'elle-même a laissé entendre qu'elle avait ouvert la porte à son mari, allant jusqu'à préciser qu'il "n'était pas censé venir à ce moment-là". Partant, il ne saurait dès lors être question d'une violation de domicile au sens de l'art. 186 CP. En particulier, l'intimé ne faisait pas l'objet d'une mesure d'éloignement en 2015, l'appelante ayant simplement pris l'engagement, auprès du SPMI, de ne pas répondre aux sollicitations de son mari par gain de paix. Il est vrai que l'intimé a d'abord exposé que sa femme lui avait barré la route et l'avait frappé à la tête avec un vase à fleurs, puis a ensuite "complètement zappé" cette partie de l'incident. Cet oubli peut toutefois aisément s'expliquer par la fréquence et la similitude des altercations entre les conjoints, qui ont pu créer une certaine confusion dans l'esprit de l'intimé, d'autant que le certificat médical établi le soir des faits atteste d'une ecchymose à l'arcade zygomatique droite, ce qui correspond à la barre osseuse latérale du crâne au bas de la tempe (la "pommette"). Cela étant, le premier juge a estimé que "le coup porté au moyen d'un vase n'était pas établi", de sorte que la CPAR est liée sur cette question par l'interdiction de la reformatio in pejus (art. 391 al. 2 CP) (infra). La Dresse E______ a confirmé que sa patiente avait tendance à réagir de façon excessive à l'encontre de son époux. La prévenue a également admis, dans une procédure classée en 2014, qu'elle subissait beaucoup de pression et se "défoulait" sur son conjoint. Quand bien même l'appelante a pu rapporter à sa psychiatre qu'il lui était arrivé d'avoir des gestes agressifs à l'encontre de son conjoint, cela en réaction à des provocations notamment verbales de ce dernier, il y a lieu de constater qu'aucun élément ne permet de retenir que tel fut le cas le soir du 22 août 2015.</w:t>
      </w:r>
    </w:p>
    <w:p>
      <w:r>
        <w:t>- 16/25 - P/6847/2015 La CPAR juge en effet crédibles les déclarations de l'intimé selon lesquelles le litige a été provoqué et alimenté essentiellement, voire exclusivement par l'appelante, étant relevé l'absence de toute lésion constatée sur cette dernière. Même à admettre que l'intimé aurait lui aussi tenu des propos destinés à provoquer son épouse ou qu'il l'ait menacé d'emmener leur fils, ce qui est possible, cela ne signifie pas encore que la prévenue aurait fait l'objet d'une attaque effective ou imminente, ou d'un danger concret impossible à détourner autrement. Le bien-fondé de l'argumentation de la prévenue ne revêt de pertinence que pour autant que son récit corresponde à la réalité. Or, la véracité de celui-ci quant aux circonstances dans lesquelles les événements se sont déroulés n'emporte pas conviction, un comportement répréhensible de l'intimé ou une violation de domicile n'étant pas établis. L'appelante ne saurait dès lors être mise au bénéfice de la légitime défense ou d'un état de nécessité licite. Les lésions causées à l'intimé, telles qu'elles ressortent du certificat médical produit, doivent être qualifiées de lésions corporelles simples au sens de l'art. 123 CP, dans la mesure où elles ont dépassé le seuil de gravité nécessaire fixé par la jurisprudence, étant rappelé qu'il ne s'agit pas d'érythèmes, mais bien plutôt d'une ecchymose au visage, de plusieurs griffures et dermo abrasions autour du cou, ainsi que de tuméfactions au niveau de ces lésions. Que ces dernières aient été causées par un étranglement ou des coups n'est pas déterminant, contrairement à ce que soutient l'appelante. Il n'est pas contesté que les faits se sont déroulés durant le mariage, trois mois avant qu'une séparation judiciaire ne soit prononcée, de sorte qu'il y a lieu de retenir le cas aggravé de l'art. 123 ch. 2 al. 3 CP. La CPAR estime que cette circonstance aggravante exclut, par essence, la qualification du cas de peu de gravité prévu à l'art. 123 ch. 1 2ème phrase CP (cf. B. CORBOZ, Les infractions en droit suisse, vol. I, 3ème éd., 2010, n. 34 p. 141). En revanche, dans la mesure où le Tribunal de police a estimé que "le coup porté au moyen d'un vase n'était pas établi", c'est à tort qu'il a néanmoins retenu le cas qualifié des lésions corporelles simples selon l'art. 123 ch. 2 al. 1 CP. L'appel sera admis sur ce point. Au vu de ce qui précède, il y a lieu de modifier le jugement entrepris, seul le verdict de culpabilité de lésions corporelles simples commis à l'encontre du conjoint devant être confirmé (art. 123 ch. 1 et ch. 2 al. 3 CP). 2.5.2. En traitant l'intimé de "fils de pute" ou de "sale chien", selon les déclarations crédibles de ce dernier (supra, 2.5.1), étant relevé que l'appelante avait admis, en février 2015, avoir déjà échangé des insultes avec son mari, cette dernière a porté atteinte à l'honneur de son conjoint, comportement que rien ne justifiait, malgré le</w:t>
      </w:r>
    </w:p>
    <w:p>
      <w:r>
        <w:t>- 17/25 - P/6847/2015 caractère conflictuel des rapports entre les époux. En proie à des sentiments ambivalents à l'égard de son mari, il y a lieu d'admettre que l'appelante a volontairement choisi ces mots pour le rabaisser et l'offenser. Ces éléments sont suffisants pour constituer l'infraction à l'art. 177 CP.</w:t>
      </w:r>
    </w:p>
    <w:p>
      <w:r>
        <w:t>Partant, le jugement sera confirmé sur ce point.</w:t>
      </w:r>
    </w:p>
    <w:p>
      <w:r>
        <w:rPr>
          <w:b/>
        </w:rPr>
        <w:t>E. 3</w:t>
      </w:r>
    </w:p>
    <w:p>
      <w:r>
        <w:t>CP n'est, à juste titre, pas plaidé. Aucune des circonstances atténuantes invoquées n'est réalisée. Bien que les parties se trouvent dans une relation de co-dépendance, cela ne saurait suffire à retenir l'application de l'art. 48 let. a ch. 4 CP, sans compter que l'appelante n'a pas commis</w:t>
      </w:r>
    </w:p>
    <w:p>
      <w:r>
        <w:t>- 21/25 - P/6847/2015 les infractions à l'instigation de son époux. Quand bien même la prévenue présente une certaine fragilité psychiatrique, les éléments du dossier ne permettent aucunement de retenir qu'elle se soit trouvée dans une situation complètement désespérée et sans issue, ou encore sous la pression d'une détresse particulièrement grave, fût-elle morale, s'approchant de la qualification de la disposition légale, étant précisé qu'elle est régulièrement suivie par un médecin psychiatre et le SPMI depuis plusieurs années, aux dires desquels la situation s'est améliorée, la prévenue étant "consciente de ses problèmes". Par ailleurs, les faits sont récents, ce qui exclut l'application de l'art. 48 let. e CP. Ce nonobstant, un certain nombre d'éléments positifs ont un effet atténuant sur la peine. D'abord, il y a lieu de prendre en compte les faibles séquelles présentées par la victime et la brièveté de la période pénale. La situation personnelle de la prévenue explique en partie ses actes, dans la mesure où elle présente des troubles dans la gestion de son impulsivité et de ses émotions, pour lesquels elle est adéquatement traitée. Le SPMI a également mis en avant les difficultés conjugales persistantes au sein de la famille. Il ne fait dès lors aucun doute que les événements s'ancrent dans un contexte familial particulièrement conflictuel. C'est ici le lieu de souligner que les parties ont su trouver une certaine sérénité depuis les faits, ce qui constitue un élément encourageant. À cet égard, il convient d'éviter le prononcé d'une sanction qui pourrait compromettre la pérennité de cette évolution souhaitable. 3.2.2. Le Tribunal de police a tenu compte de tous ces éléments pour fixer une peine, laquelle apparaît néanmoins excessivement sévère au regard de la faute de l'appelante. Il y a également lieu de prendre en compte la réformation du verdict de culpabilité. Au vu de l'ensemble des circonstances, l'intimé sera condamné à une peine pécuniaire de 60 jours-amende, dont l'unité, fixée à CHF 30.-, est adéquate, au vu des rentes mensuelles de CHF 3'000.- perçues par l'intéressée, laquelle ne prétend pas assumer de charges particulières, son loyer et son assurance maladie étant en outre payés par l'Hospice général. Le sursis, dont les conditions sont réalisées, est acquis à l'appelante. Un délai d'épreuve de deux ans parait suffisant en l'espèce, l'appelante n'ayant aucun antécédent. Partant, l'appel est partiellement admis. Le jugement querellé sera réformé dans le sens des considérants qui précèdent.</w:t>
      </w:r>
    </w:p>
    <w:p>
      <w:r>
        <w:t>- 22/25 - P/6847/2015</w:t>
      </w:r>
    </w:p>
    <w:p>
      <w:r>
        <w:rPr>
          <w:b/>
        </w:rPr>
        <w:t>E. 4</w:t>
      </w:r>
    </w:p>
    <w:p>
      <w:r>
        <w:t>L'appelante, qui succombe pour l'essentiel, supportera les deux-tiers des frais de la procédure d'appel, comprenant dans leur globalité un émolument de CHF 1'500.- (art. 428 CPP et art. 14 let. e du règlement fixant le tarif des frais en matière pénale du 22 décembre 2010 [RTFMP – E 4 10.03]). Vu la confirmation des verdicts de culpabilité, il n'y a pas lieu de revoir la répartition des frais de première instance (art. 428 al. 3 CPP).</w:t>
      </w:r>
    </w:p>
    <w:p>
      <w:r>
        <w:rPr>
          <w:b/>
        </w:rPr>
        <w:t>E. 5.1</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débours de l'étude inclus, la TVA étant versée en sus si l'intéressé y est assujetti, de même qu'une majoration forfaitaire de 20% jusqu'à 30 heures de travail décomptées depuis l'ouverture de la procédure, 10% lorsque l'état de frais porte sur plus de 30 heures, consacrées aux conférences, audiences et autres actes de la procédure, pour les démarches diverses.</w:t>
      </w:r>
    </w:p>
    <w:p>
      <w:r>
        <w:rPr>
          <w:b/>
        </w:rPr>
        <w:t>E. 5.2</w:t>
      </w:r>
    </w:p>
    <w:p>
      <w:r>
        <w:t>Considérée dans sa globalité, l'activité exercée par Me X______ pour la défense des intérêts de A______ pour la procédure d'appel est en adéquation avec la nature, l'importance et la difficulté de la cause, sans qu'il ne soit nécessaire de reprendre le détail des postes qui le composent.</w:t>
      </w:r>
    </w:p>
    <w:p>
      <w:r>
        <w:t>En conclusion, l'indemnité sera arrêtée à CHF 1'684.80 correspondant à 06h30 d'activité au tarif de CHF 200.-/heure plus la majoration forfaitaire de 20% (CHF 260.-), compte tenu de l'activité déjà indemnisée en première instance et l'équivalent de la TVA au taux de 8% (CHF 124.80).</w:t>
      </w:r>
    </w:p>
    <w:p>
      <w:r>
        <w:t>* * * * *</w:t>
      </w:r>
    </w:p>
    <w:p>
      <w:r>
        <w:t>- 23/25 - P/6847/2015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