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AARP/194/2015 vom 28. April 2015</w:t>
      </w:r>
    </w:p>
    <w:p>
      <w:r>
        <w:t>GE Cour de justice, 2015-04-28, FR</w:t>
      </w:r>
    </w:p>
    <w:p>
      <w:r>
        <w:rPr>
          <w:b/>
        </w:rPr>
        <w:t xml:space="preserve">Quelle: </w:t>
      </w:r>
      <w:r>
        <w:t>https://mcp.opencaselaw.ch/entscheid/ge_gerichte_AARP_194_2015</w:t>
      </w:r>
    </w:p>
    <w:p>
      <w:r>
        <w:t>FR: GE_GERICHTE AARP/194/2015 du 28 avril 2015</w:t>
      </w:r>
    </w:p>
    <w:p>
      <w:r>
        <w:t>IT: GE_GERICHTE AARP/194/2015 del 28 aprile 2015</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CPAR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l'appel est recevable.</w:t>
      </w:r>
    </w:p>
    <w:p>
      <w:r>
        <w:t>- 5/6 - PM/325/2015</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En ce qui concerne la possibilité d'émettre un pronostic favorable, il convient de prendre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 L. MOREILLON / B.VIREDAZ / A. BISCHOFSKY, La nouvelle partie générale du Code pénal suisse, Berne, 2006, p. 361, S. TRECHSEL, Schweizerisches Strafgesetzbuch : Praxiskommentar, Zurich 2008, n. 8-9 ad art. 86).</w:t>
      </w:r>
    </w:p>
    <w:p>
      <w:r>
        <w:rPr>
          <w:b/>
        </w:rPr>
        <w:t>E. 2.2</w:t>
      </w:r>
    </w:p>
    <w:p>
      <w:r>
        <w:t>Il ressort de l'extrait du casier judiciaire de l'appelant qu'il a fait l'objet, le 13 septembre 2013, d'une condamnation à une peine privative de liberté de 100 jours pour vol, dommages à la propriété et séjour illégal, en vertu d'une décision du Ministère public de D______, entrée en force de chose jugée, laquelle était d'ailleurs déjà définitive et exécutoire lorsque le TAPEM a statué. Il résultait des informations reçues le 27 avril 2015 par la CPAR que l'ordre d'écrou lié à l'exécution de cette peine allait être délégué le même jour aux autorités genevoises et que le SAPEM allait immédiatement établir un nouvel avis de détention, afin d'englober cette sanction avec celles que l'intéressé est en train de purger. Il apparaît désormais que l'appelant va finalement être transféré à D______ pour purger toutes ces peines. Il s'ensuit que cela a pour effet de reporter l'échéance des deux tiers de ces peines et le terme de celles-ci et que, partant, la condition objective prévue par l’art. 86 al. 1 CP n'est pas réalisée à ce jour. Il convient de relever que cela ne prétérite pas les intérêts de l'appelant dans la mesure où il conserve la possibilité de requérir sa libération conditionnelle pour les deux tiers des peines qu'il exécute actuellement, étant relevé qu'il lui appartient d'ores et déjà de formuler une nouvelle demande dans ce sens et de la présenter a priori à le H______ de D______.</w:t>
      </w:r>
    </w:p>
    <w:p>
      <w:r>
        <w:t>L'appel s'avère ainsi sans objet, dès lors que la demande de libération conditionnelle de l'appelant se révèle prématurée, et il sera rejeté.</w:t>
      </w:r>
    </w:p>
    <w:p>
      <w:r>
        <w:rPr>
          <w:b/>
        </w:rPr>
        <w:t>E. 3</w:t>
      </w:r>
    </w:p>
    <w:p>
      <w:r>
        <w:t>Vu l'issue de la cause, les frais de la procédure d'appel seront laissés à la charge de l'Etat. * * * * *</w:t>
      </w:r>
    </w:p>
    <w:p>
      <w:r>
        <w:t>- 6/6 - PM/325/2015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