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AARP/193/2013 vom 24. April 2013</w:t>
      </w:r>
    </w:p>
    <w:p>
      <w:r>
        <w:t>GE Cour de justice, 2013-04-24, FR</w:t>
      </w:r>
    </w:p>
    <w:p>
      <w:r>
        <w:rPr>
          <w:b/>
        </w:rPr>
        <w:t xml:space="preserve">Quelle: </w:t>
      </w:r>
      <w:r>
        <w:t>https://mcp.opencaselaw.ch/entscheid/ge_gerichte_AARP_193_2013</w:t>
      </w:r>
    </w:p>
    <w:p>
      <w:r>
        <w:t>FR: GE_GERICHTE AARP/193/2013 du 24 avril 2013</w:t>
      </w:r>
    </w:p>
    <w:p>
      <w:r>
        <w:t>IT: GE_GERICHTE AARP/193/2013 del 24 aprile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1576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w:t>
      </w:r>
    </w:p>
    <w:p>
      <w:r>
        <w:t>- 5/7 - PM/129/2013 compétente s’appuie sur les indications fournies par l’établissement de détention, les projets du détenu et les renseignements recueillies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p. 361).</w:t>
      </w:r>
    </w:p>
    <w:p>
      <w:r>
        <w:rPr>
          <w:b/>
        </w:rPr>
        <w:t>E. 2.3</w:t>
      </w:r>
    </w:p>
    <w:p>
      <w:r>
        <w:t>En l’espèce, la condition objective prévue par l’art. 86 al. 1 CP est réalisée depuis le 12 avril 2013. L’appelant est ressortissant français et dispose de documents d'identité. Il n'a pas de véritable foyer ni de travail, et vivait, avant son arrestation, dans un centre d'hébergement dans la région parisienne. Son ex-épouse et trois de ses cinq enfants vivent en France. Il fait l'objet d'une mesure d'interdiction d'entrée en Suisse valable jusqu'en 2022. Sa situation personnelle est ainsi relativement précaire et le pronostic, à cet égard, est incertain. Il n'en demeure pas moins que l'appelant exécute actuellement sa première condamnation en Suisse. S'il est constant qu'il a déjà été condamné une fois en Allemagne, à une peine de 3 ans de prison, pour des faits spécifiques, et qu'il n'a exécuté que la moitié de cette peine, il n'est pas établi qu'il a bénéficié d'une libération conditionnelle dans ce pays. En effet, l'extrait de son casier judiciaire allemand n'en fait aucune mention et l'intéressé a expliqué en audience qu'il ne savait pas quel était le fondement juridique à son élargissement anticipé. Il ne pouvait en substance pas dire s'il avait été mis au bénéfice d'une forme de sursis partiel ou de libération conditionnelle. Cet antécédent à l'étranger a d'ailleurs été pris en considération par l'autorité de jugement pour refuser le sursis partiel, de sorte que la Chambre de céans ne saurait fonder le refus d'une libération conditionnelle sur le même motif. On relèvera encore que l'appelant a expliqué en audience qu'il travaillait depuis quelques mois à l'extérieur de l'établissement de détention, exécutant ainsi sa peine selon un régime de détention réservé aux détenus qui ont subi une partie de leur peine, en général au moins la moitié, et qui ne présentent aucun danger de fuite ou de récidive (cf. art. 77a al. 1 CP). Enfin, si les projets d'avenir de l'appelant sont peu documentés, il a produit des copies d'offres spontanées d'emploi en vue de retrouver un travail en France et</w:t>
      </w:r>
    </w:p>
    <w:p>
      <w:r>
        <w:t>- 6/7 - PM/129/2013 affirme qu'en tant que citoyen français, il pourra bénéficier de certaines prestations sociales dans son pays. Pour ces motifs, la Chambre de céans considère que le pronostic n'est pas aussi négatif que l'ont retenu les premiers juges et le SAPEM et que les conditions d’application de l’art. 86 CP sont réalisées. Le jugement entrepris sera annulé et la libération conditionnelle prononcée.</w:t>
      </w:r>
    </w:p>
    <w:p>
      <w:r>
        <w:rPr>
          <w:b/>
        </w:rPr>
        <w:t>E. 2.4</w:t>
      </w:r>
    </w:p>
    <w:p>
      <w:r>
        <w:t>Selon l’art. 87 al. 1 CP, il est imparti au condamné libéré conditionnellement un délai d’épreuve égal à la durée du solde de sa peine. Ce délai est toutefois d’un an au moins et de cinq ans au plus.</w:t>
      </w:r>
    </w:p>
    <w:p>
      <w:r>
        <w:rPr>
          <w:b/>
        </w:rPr>
        <w:t>E. 2.5</w:t>
      </w:r>
    </w:p>
    <w:p>
      <w:r>
        <w:t>En l’espèce, le solde de peine à purger est inférieur à un an, de sorte que le délai d’épreuve sera fixé à un an.</w:t>
      </w:r>
    </w:p>
    <w:p>
      <w:r>
        <w:rPr>
          <w:b/>
        </w:rPr>
        <w:t>E. 2.6</w:t>
      </w:r>
    </w:p>
    <w:p>
      <w:r>
        <w:t>L’appelant ayant obtenu gain de cause, les frais de la procédure seront laissés à la charge de l’Etat (art. 428 CPP).</w:t>
      </w:r>
    </w:p>
    <w:p>
      <w:r>
        <w:t>* * * * *</w:t>
      </w:r>
    </w:p>
    <w:p>
      <w:r>
        <w:t>- 7/7 - PM/129/2013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