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AARP/192/2018 vom 12. Juni 2018</w:t>
      </w:r>
    </w:p>
    <w:p>
      <w:r>
        <w:t>GE Cour de justice, 2018-06-12, FR</w:t>
      </w:r>
    </w:p>
    <w:p>
      <w:r>
        <w:rPr>
          <w:b/>
        </w:rPr>
        <w:t xml:space="preserve">Quelle: </w:t>
      </w:r>
      <w:r>
        <w:t>https://mcp.opencaselaw.ch/entscheid/ge_gerichte_AARP_192_2018</w:t>
      </w:r>
    </w:p>
    <w:p>
      <w:r>
        <w:t>FR: GE_GERICHTE AARP/192/2018 du 12 juin 2018</w:t>
      </w:r>
    </w:p>
    <w:p>
      <w:r>
        <w:t>IT: GE_GERICHTE AARP/192/2018 del 12 giugno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w:t>
      </w:r>
    </w:p>
    <w:p>
      <w:r>
        <w:t>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sont garantis par les art. 14 § 2 du Pacte international relatif aux droits civils et politiques du 16 décembre 1966 (Pacte II ; RS 0.103.2), 6 § 2 de la Convention de sauvegarde des droits de l'homme et des libertés fondamentales du 4 novembre 1950 (CEDH ; RS 0.101), 32 al. 1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ATF 127 I 38 consid. 2a).</w:t>
      </w:r>
    </w:p>
    <w:p>
      <w:r>
        <w:t>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t>- 6/12 - P/22077/2016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Les cas de "parole contre parole",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M. NIGGLI / M. HEER / H. WIPRÄCHTIGER [éds], Strafprozessordnung / Jugendstrafprozessordnung, Basler Kommentar StPO/JStPO, 2e éd., Bâle 2014, n. 83 ad art. 10).</w:t>
      </w:r>
    </w:p>
    <w:p>
      <w:r>
        <w:t>2.2.1. Se rend coupable d'injure celui qui aura, par la parole, l'écriture, l'image, le geste ou par des voies de fait, attaqué autrui dans son honneur (art. 177 al. 1 CP). Sont considérées comme des injures formelles les termes : "fils de pute" (arrêt du Tribunal fédéral 6B_763/2014 du 6 janvier 2015 ; AARP/60/2018 du 6 février 2018 consid. 4.2) ou "pédé" (AARP/79/2017 du 8 mars 2017 consid. 2.3).</w:t>
      </w:r>
    </w:p>
    <w:p>
      <w:r>
        <w:t>2.2.2.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 arrêt du Tribunal fédéral 6B_578/2016 du 19 août 2016 consid. 2.1). En second lieu, il faut que la victime ait été effectivement alarmée ou effrayée. Elle doit craindre que le préjudice annoncé se réalise. L'infraction est intentionnelle, le dol éventuel étant suffisant (arrêts du Tribunal fédéral 6B_578/2016 du 19 août 2016 consid. 2.1 ; 6B_871/2014 du 24 août 2015 consid. 2.2.2 ; 6B_820/2011 du 5 mars 2012 consid. 3). Le contexte dans lequel des propos sont émis est un élément permettant d'en apprécier le caractère menaçant ou non (cf. arrêts du Tribunal fédéral 6B_593/2016 du 27 avril 2017 consid. 3.1.3 ; 6B_307/2013 du 13 juin 2013 consid. 5.2).</w:t>
      </w:r>
    </w:p>
    <w:p>
      <w:r>
        <w:t>2.3.1. En l'espèce, l'appelant nie avoir insulté ou menacé de mort l'intimé. Selon sa version constante des faits, bien qu'il se soit emporté, la discussion était normale.</w:t>
      </w:r>
    </w:p>
    <w:p>
      <w:r>
        <w:t>- 7/12 - P/22077/2016</w:t>
      </w:r>
    </w:p>
    <w:p>
      <w:r>
        <w:t>Or, G______ a déclaré avoir entendu les insultes et les menaces de mort. Certes, lors de son audition par la police, elle n'a pas donné d'élément quant à la configuration des lieux et l'emplacement des personnes. Toutefois, devant le Ministère public, elle a confirmé ses précédentes déclarations et précisé la position de chacun. Les indications apportées à ce sujet correspondent pour l'essentiel au récit de l'intimé, à savoir que le ton est d'abord monté dans le bureau des intendants, puis que les protagonistes sont sortis du bâtiment et se trouvaient dans la coursive du bâtiment dans lequel résidait l'appelant lorsqu'elle l'a entendu proférer les paroles incriminées.</w:t>
      </w:r>
    </w:p>
    <w:p>
      <w:r>
        <w:t>Bien qu'il n'ait pas entendu les propos échangés entre l'appelant et l'intimé, F______ a confirmé que le ton était monté. Il s'était aperçu que les propos tenus à l'encontre de son collègue avaient suffisamment déplu à celui-ci pour qu'il appelle le service de sécurité.</w:t>
      </w:r>
    </w:p>
    <w:p>
      <w:r>
        <w:t>Contrairement à la version des faits de l'appelant, celle de l'intimé paraît ainsi crédible, d'autant plus qu'il n'a jamais varié dans ses déclarations, qu'elle est corroborée par les témoignages de G______ et F______ et qu'on ne voit pas pour quel motif il accuserait à tort l'appelant.</w:t>
      </w:r>
    </w:p>
    <w:p>
      <w:r>
        <w:t>Partant, la CPAR retiendra que l'appelant a traité D______ de "pédé" et de "fils de pute" et l'a menacé de mort, ainsi que sa famille.</w:t>
      </w:r>
    </w:p>
    <w:p>
      <w:r>
        <w:t>Au vu de ce qui précède, il y a lieu de tenir également pour avéré que les propos ont été accompagnés d'un mime d'un geste d'égorgement, conformément aux déclarations de D______.</w:t>
      </w:r>
    </w:p>
    <w:p>
      <w:r>
        <w:t>2.3.2. Les termes "fils de pute" et "pédé" constituent indéniablement des injures au vu de la jurisprudence citée sous consid. 3.</w:t>
      </w:r>
    </w:p>
    <w:p>
      <w:r>
        <w:t>Partant, le verdict de culpabilité d'injures au sens de l'art. 177 al. 1 CP sera confirmé.</w:t>
      </w:r>
    </w:p>
    <w:p>
      <w:r>
        <w:t>2.3.2. Une menace de mort proférée à l'encontre du destinataire et de sa famille, accompagnée d'un geste mimant l'égorgement est une menace grave.</w:t>
      </w:r>
    </w:p>
    <w:p>
      <w:r>
        <w:t>L'intimé a déclaré avoir craint pour son intégrité physique au moment des faits. Il se méfiait de l'appelant et avait déjà eu recouru au service de sécurité à l'encontre de celui-ci. L'appelant, décrit comme une personne imposante et menaçante, était en colère contre lui qu'il soupçonnait de manigances visant à obtenir son expulsion du foyer.</w:t>
      </w:r>
    </w:p>
    <w:p>
      <w:r>
        <w:t>Partant, le verdict de culpabilité de menaces au sens de l'art. 180 al. 1 CP sera confirmé.</w:t>
      </w:r>
    </w:p>
    <w:p>
      <w:r>
        <w:t>- 8/12 - P/22077/2016</w:t>
      </w:r>
    </w:p>
    <w:p>
      <w:r>
        <w:rPr>
          <w:b/>
        </w:rPr>
        <w:t>E. 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L'appelant ne conteste la peine ni dans sa nature, ni dans sa quotité. La sanction de 50 jours-amende consacre une application correcte des critères fixés à l'art. 47 CP et tient compte de manière adéquate de la gravité de sa faute et de sa situation personnelle. Le montant du jour-amende, de CHF 10.- l'unité est également adéquat. La condamnation à une peine ferme apparaît nécessaire, les peines précédemment infligées n'ayant eu jusqu'ici aucun effet dissuasif. La CPAR se réfère à cet égard aux considérants et aux développements du premier juge (art. 82 al. 4 CPP). Le jugement entrepris sera par conséquent entièrement confirmé.</w:t>
      </w:r>
    </w:p>
    <w:p>
      <w:r>
        <w:rPr>
          <w:b/>
        </w:rPr>
        <w:t>E. 4</w:t>
      </w:r>
    </w:p>
    <w:p>
      <w:r>
        <w:t>L'appelant, qui succombe, supportera les frais de la procédure envers l'État (art. 428 CPP), qui comprennent un émolument de CHF 1'500.-.</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5.2.1. Selon l'art. 135 al. 1 CPP, le défenseur d'office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l'activité d'un chef d'étude, débours de l'étude inclus (let. c ; cf. décision de la Cour des plaintes du Tribunal pénal fédéral BB.2013.127 du 4 décembre 2013 consid. 3/4.2-4.4). En cas d'assujettissement, l'équivalent de la TVA est versé en sus.</w:t>
      </w:r>
    </w:p>
    <w:p>
      <w:r>
        <w:t>5.2.2. Le nombre d'heures nécessaires pour assurer la défense d'office du prévenu est décisif pour fixer la rémunération de l'avocat (arrêt du Tribunal fédéral 2C_509/2007 du 19 novembre 2007 consid. 4). L'autorité doit tenir compte de la nature et de</w:t>
      </w:r>
    </w:p>
    <w:p>
      <w:r>
        <w:t>- 9/12 - P/22077/2016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5.2.3.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w:t>
      </w:r>
    </w:p>
    <w:p>
      <w:r>
        <w:t>- 10/12 - P/22077/2016 possibles, charge à l'avocat de justifier l'ampleur d'opérations dont la couverture ne serait pas assurée par le forfait.</w:t>
      </w:r>
    </w:p>
    <w:p>
      <w:r>
        <w:rPr>
          <w:b/>
        </w:rPr>
        <w:t>E. 5.3</w:t>
      </w:r>
    </w:p>
    <w:p>
      <w:r>
        <w:t>En l'espèce, seront retenues, en relation avec l'activité du défenseur d'office en appel, les trois heures et quarante-cinq minutes consacrées à la rédaction du mémoire d'appel, ainsi qu'une heure d'entretien avec le client. Le second rendez-vous ne s'imposait pas, une heure pour l'orienter sur les chances de succès et les coûts en cas de rejet, ainsi que pour recueillir ses déterminations, suffisant. Le temps consacré à la prise de connaissance du dossier ne sera pas pris en considération, celui-ci étant supposé connu puisqu'il venait d'être plaidé en première instance, et le forfait suffisant pour couvrir notamment la lecture du bref jugement.</w:t>
      </w:r>
    </w:p>
    <w:p>
      <w:r>
        <w:rPr>
          <w:b/>
        </w:rPr>
        <w:t>E. 5.4</w:t>
      </w:r>
    </w:p>
    <w:p>
      <w:r>
        <w:t>En conclusion, l'activité du défenseur d'office sera rémunérée, au taux horaire réservé au chef d'étude, à concurrence de quatre heures et quarante-cinq minutes (CHF 950.-), plus la majoration forfaitaire par 20% (CHF 190.-) et la TVA, au taux de 8% (CHF 91.20), selon la pratique transitoire du Pouvoir judiciaire, soit un total de CHF 1'231.20. * * * * *</w:t>
      </w:r>
    </w:p>
    <w:p>
      <w:r>
        <w:t>- 11/12 - P/22077/2016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