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AARP/191/2020 vom 26. Mai 2020</w:t>
      </w:r>
    </w:p>
    <w:p>
      <w:r>
        <w:t>GE Cour de justice, 2020-05-26, FR</w:t>
      </w:r>
    </w:p>
    <w:p>
      <w:r>
        <w:rPr>
          <w:b/>
        </w:rPr>
        <w:t xml:space="preserve">Quelle: </w:t>
      </w:r>
      <w:r>
        <w:t>https://mcp.opencaselaw.ch/entscheid/ge_gerichte_AARP_191_2020</w:t>
      </w:r>
    </w:p>
    <w:p>
      <w:r>
        <w:t>FR: GE_GERICHTE AARP/191/2020 du 26 mai 2020</w:t>
      </w:r>
    </w:p>
    <w:p>
      <w:r>
        <w:t>IT: GE_GERICHTE AARP/191/2020 del 26 maggio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Est reconnu coupable d'infraction à l'art. 19 al. 1 LStup, celui qui, sans droit, aliène ou prescrit des stupéfiants, en procure de toute autre manière à un tiers ou en met dans le commerce (let. c) ou celui qui, sans droit, possède, détient ou acquiert des stupéfiants ou s'en procure de toute autre manière (let. d).</w:t>
      </w:r>
    </w:p>
    <w:p>
      <w:r>
        <w:t>2.1.2. Selon l'art. 19b al. 1 LStup, celui qui se borne à préparer des stupéfiants en quantités minimes, pour sa propre consommation ou pour permettre à des tiers de</w:t>
      </w:r>
    </w:p>
    <w:p>
      <w:r>
        <w:t>- 8/16 - P/22863/2019 plus de 18 ans d'en consommer simultanément en commun après leur en avoir fourni gratuitement, n'est pas punissable. Dix grammes de stupéfiants ayant des effets de type cannabique sont considérés comme une quantité minime (al. 2).</w:t>
      </w:r>
    </w:p>
    <w:p>
      <w:r>
        <w:t>Selon la jurisprudence du Tribunal fédéral, la consommation de petites quantités de drogues relève de l'art. 19a ch. 2 LStup, alors que la simple possession de petites quantités de drogues à des fins de consommation relève de l'art. 19b LStup (arrêt du Tribunal fédéral 6B_1273/2016 du 6 septembre 2017, consid. 1.5.2). Ne sont pas punissables au titre de l'art. 19b al. 1 LStup ceux qui ne préparent que leur propre consommation ou qui fournissent gratuitement des stupéfiants pour permettre une consommation simultanée et commune, si les quantités en cause sont faibles. L'exemption de peine prévue par la loi doit également s'appliquer à la préparation d'une telle distribution - c'est-à-dire à l'acquisition et à la détention du stupéfiant dans un but correspondant. Pour déterminer quelle quantité est minime, l'autorité qui applique la loi dispose d'une grande marge d'appréciation (arrêt du Tribunal fédéral 6B_630/2016 du 25 janvier 2017, consid. 2.3 et la doctrine citée).</w:t>
      </w:r>
    </w:p>
    <w:p>
      <w:r>
        <w:rPr>
          <w:b/>
        </w:rPr>
        <w:t>E. 2.2</w:t>
      </w:r>
    </w:p>
    <w:p>
      <w:r>
        <w:t>En l'espèce, il n'y a pas lieu de trancher la question de l'application de l'art. 19b al. 1 LStup aux paquets d'héroïne saisis sur A______, dans la mesure où la CPAR a retenu que sa possession de cette héroïne l'était en vue de vente et non de sa propre consommation. C'est donc clairement la lettre d de l'art. 19 al. 1 LStup qui doit s'appliquer, soit une possession sans droit. En ce sens, l'appel est rejeté et le jugement confirmé.</w:t>
      </w:r>
    </w:p>
    <w:p>
      <w:r>
        <w:t>En revanche, A______ a été poursuivi pour contravention à la LStup concernant la détention de trois morceaux de haschich d'un poids total d'un gramme destinés à sa propre consommation. Cette possession tombant manifestement sous le coup de l'art. 19b al. 1 LStup, un acquittement doit être prononcé et le jugement sera réformé sur ce point.</w:t>
      </w:r>
    </w:p>
    <w:p>
      <w:r>
        <w:rPr>
          <w:b/>
        </w:rPr>
        <w:t>E. 3</w:t>
      </w:r>
    </w:p>
    <w:p>
      <w:r>
        <w:t>Les infractions aux art. 19 al. 1 LStup et 291 al. 1 CP, dont le prévenu a été reconnu coupable, sont punissables d'une peine privative de liberté de trois ans au plus ou d'une peine pécuniaire.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- 9/16 - P/22863/2019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3.2</w:t>
      </w:r>
    </w:p>
    <w:p>
      <w:r>
        <w:t>En l'espèce, seule une peine privative de liberté entre en ligne de compte, l'appelant étant sans ressource et dépourvu de toute perspective d'obtenir un revenu régulier. En outre, ses précédentes condamnations à des peines privatives de liberté fermes ne l'ont pas dissuadé de récidiver. La faute de A______ est d'une importance certaine. Malgré de multiples antécédents, et alors qu'il venait d'être libéré par la police, il a persisté dans l'atteinte à la santé publique en se livrant à un trafic d'une drogue dure, certes en faible quantité et sur une courte période pénale, mais en faisant fi de toutes les décisions préalables l'ayant à réitérées reprises touché pour de tels comportements. Il a agi par pur intérêt personnel et sa volonté délictuelle était forte. Il l'a fait de plus en prenant des précautions particulières pour ne pas être confondu, ayant recours à un tiers pour nouer le contact avec des acheteurs potentiels, démontrant par là une volonté délictuelle affirmée. Bien qu'étant expulsé de Suisse, il a délibérément choisi d'y rester durant plusieurs semaines, s'étant abstenu, à teneur du dossier, de toute</w:t>
      </w:r>
    </w:p>
    <w:p>
      <w:r>
        <w:t>- 10/16 - P/22863/2019 démarche en vue d'un départ, question sur laquelle ses intentions affichées sont clairement de ne pas respecter à l'avenir la décision qui le frappe. La prise de conscience de A______ est ténue, tout comme l'est sa collaboration qui doit être qualifiée de peu satisfaisante, dans la mesure des observations de la police qui l'ont conduit à n'admettre que partiellement les faits qui lui étaient reprochés liés aux stupéfiants alors que la connaissance par les autorités de son expulsion ne lui laissait guère de choix. Sa situation personnelle, certes difficile, ne justifie pas ses actes. Pour précaire qu'elle soit, la condition de l'appelant ne justifie en effet pas son comportement, ce d'autant qu'il existe des organismes qui viennent en aide aux personnes dans sa situation administrative et préviennent du dénuement en Suisse. Les excuses et regrets qu'il a exprimés paraissent de circonstance au vu de ses nombreux antécédents. La CPAR prend toutefois acte de ce que A______ paraît vouloir tourner la page et s'affranchir de la drogue, ce qui est certes souhaitable, mais demande confirmation en dehors du contexte carcéral. Les infractions commises sont de gravité égale, mais il convient de retenir que l'infraction à la LStup est significativement celle qui représente la faute la plus lourde. Ainsi, une peine privative de liberté de l'ordre de six mois devrait être prononcée, vu les récidives. Quant à la rupture de ban, elle mériterait, dans les circonstances de l'espèce, une peine privative de liberté de l'ordre de quatre mois. De la sorte, et en application du principe de l'aggravation, la peine privative de liberté de neuf mois prononcée par le TP est à tout le moins adéquate et sera confirmée, l'appel étant rejeté sur ce point. L'intimé ayant récidivé en dépit des précédentes condamnations pour des faits similaires sans montrer de disposition à modifier son comportement, le pronostic à formuler est défavorable, en conséquence de quoi la nature ferme de la peine sera confirmée.</w:t>
      </w:r>
    </w:p>
    <w:p>
      <w:r>
        <w:rPr>
          <w:b/>
        </w:rPr>
        <w:t>E. 4</w:t>
      </w:r>
    </w:p>
    <w:p>
      <w:r>
        <w:t>L'appelant conclut à ce qu'il soit renoncé à son expulsion.</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w:t>
      </w:r>
    </w:p>
    <w:p>
      <w:r>
        <w:t>- 11/16 - P/22863/2019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 3 de la Constitution fédérale de la Confédération suisse du 18 avril 1999 (Cst. - RS 101).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 fondamentales du 4 novembre 1950 (CEDH - RS 0.101)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Concernant l'intérêt public,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op. cit., p. 166 ; M. BUSSLINGER / P. UEBERSAX, op. cit.,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w:t>
      </w:r>
    </w:p>
    <w:p>
      <w:r>
        <w:t>- 12/16 - P/22863/2019 4.2.1. En l'espèce, il existe, à l'évidence, un intérêt public important à l'expulsion de l'appelant. En effet, celui-ci n'a aucun droit de résider en Suisse et a déjà fait l'objet d'une mesure de renvoi et d'une mesure d'expulsion en force dont il n'a pas tenu compte. Il n'a aucun espoir de résider légalement en Suisse dans un avenir proche ou à moyen terme et d'y occuper un emploi rémunéré, ce qu'à ses dires, il n'a pas fait depuis plus de 20 ans. Il a été condamné à 17 reprises entre 2010 et 2018 pour des infractions d'une certaine gravité telles des lésions corporelles simples (à deux reprises dont l'une avec poison, arme ou objet dangereux), une tentative de brigandage, outre ses sept condamnations pour délits à la LStup, et dans ce cadre à cinq reprises à des peines privatives de liberté de six mois ou plus, ce qui ne l'a pas empêché de récidiver. Il est ainsi visiblement resté jusqu'ici imperméable à l'effet dissuasif des précédentes peines prononcées à son encontre. Le prononcé d'une expulsion serait dès lors, par sa nature, propre à l'empêcher de commettre de nouvelles infractions en Suisse. Les infractions nouvellement commises, et en particulier le délit à la LStup sont d'une certaine gravité, la vente de stupéfiants étant propre à nuire à la santé des consommateurs. La quotité de la peine de neuf mois et le cumul d'infractions sont ainsi non négligeables. 4.2.2. L'intérêt de l'appelant à ne pas être expulsé est quant à lui plus que relatif. S'il a certes passé environ 30 ans en Suisse, il y a essentiellement séjourné illégalement, son renvoi étant entré en force en 1993 et une demande de soutien en ce sens déposée depuis 2001. Son intégration sociale en Suisse est particulièrement mauvaise. Il n'a pas de domicile fixe et y vit, sans travail, au crochet de la société et des institutions sociales, tout en commettant régulièrement des infractions. Il n'y dispose d'aucune implantation familiale ou sociale, ayant une fille en Allemagne. Sa référence à une relation nouée en détention avec une femme encore détenue à ce jour de façon essentiellement épistolaire ne lui est d'aucun secours sous cet angle. L'on ne saurait en effet considérer qu'il s'agit d'une relation stable et destinée à perdurer au-delà des circonstances particulières liées à la détention. L'expulsion de l'appelant rendrait certes sa relation avec son amie plus difficile, si tant est que dite relation devait être poursuivie, mais rien n'empêcherait a priori qu'elle se poursuive depuis l'étranger. Si l'appelant dit ne plus avoir de contact avec sa famille, il ne soutient pas que ses membres ne vivent plus en Erythrée ou en Ethiopie. Au contraire, il semble qu'il sait ce qu'ils sont advenus. Certes il n'a jamais vécu en Erythrée, mais dès lors qu'il n'est pas intégré, ses chances de réinsertion – voire d'insertion – notamment professionnelle, plutôt qu'en Suisse où elles sont proches du néant, ne semblent pas moins bonnes en Erythrée, pays dont il parle la langue, ayant vécu en Ethiopie toute son enfance et son adolescence jusqu'à ses 16 ans.</w:t>
      </w:r>
    </w:p>
    <w:p>
      <w:r>
        <w:t>- 13/16 - P/22863/2019 La CPAR relève enfin que l'autorité d'exécution de l'expulsion est l'autorité administrative désignée par la loi genevoise d'application de la loi fédérale sur les étrangers et l'intégration du 16 décembre 2005 [LEI - RS 142.20]). Ainsi, dans un pays étranger, une situation temporaire destinée à évoluer, telle que la situation de danger liée à une situation politique donnée comme évoqué par l'appelant, ne saurait constituer un empêchement au prononcé de la mesure d'expulsion, la question de sa mise en œuvre échappant à l'autorité judiciaire. 4.2.3. Au vu de ce qui précède, il apparaît que l'intérêt de la Suisse à prononcer l'expulsion dépasse nettement celui de l'appelant à y rester. L'expulsion facultative d'une durée minimale de trois ans sera ainsi confirmée, l'appel étant également rejeté sur ce point.</w:t>
      </w:r>
    </w:p>
    <w:p>
      <w:r>
        <w:rPr>
          <w:b/>
        </w:rPr>
        <w:t>E. 5</w:t>
      </w:r>
    </w:p>
    <w:p>
      <w:r>
        <w:t>Les motifs ayant conduit les premiers juges à prononcer, par ordonnance séparée du 15 janvier 2020,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pour l'essentiel sera condamné aux 4/5èmes des frais de la procédure d'appel, comprenant un émolument de CHF 1'500.- (art. 428 al. 1 CP), sans qu'il n'apparaisse nécessaire de modifier la mise à charge des frais fixée par le premier juge.</w:t>
      </w:r>
    </w:p>
    <w:p>
      <w:r>
        <w:rPr>
          <w:b/>
        </w:rPr>
        <w:t>E. 7</w:t>
      </w:r>
    </w:p>
    <w:p>
      <w:r>
        <w:t>L'état de frais produit par le défenseur d'office de l'appelant paraît adéquat et conforme aux dispositions et principes régissant l'assistance judiciaire pénale. L'indemnité due au défenseur d'office sera par conséquent arrêtée en totalité à CHF 1'715.65, correspondant à 7h20mn d'activité au tarif horaire de CHF 150.- et 1h30mn à CHF 110.-, forfait de 20% (CHF 253.-) et TVA à 7,7% (CHF 122.65) en sus, plus un déplacement à CHF 75.-.</w:t>
      </w:r>
    </w:p>
    <w:p>
      <w:r>
        <w:t>* * * * *</w:t>
      </w:r>
    </w:p>
    <w:p>
      <w:r>
        <w:t>- 14/16 - P/22863/2019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