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AARP/191/2019 vom 20. Juni 2019</w:t>
      </w:r>
    </w:p>
    <w:p>
      <w:r>
        <w:t>GE Cour de justice, 2019-06-20, FR</w:t>
      </w:r>
    </w:p>
    <w:p>
      <w:r>
        <w:rPr>
          <w:b/>
        </w:rPr>
        <w:t xml:space="preserve">Quelle: </w:t>
      </w:r>
      <w:r>
        <w:t>https://mcp.opencaselaw.ch/entscheid/ge_gerichte_AARP_191_2019</w:t>
      </w:r>
    </w:p>
    <w:p>
      <w:r>
        <w:t>FR: GE_GERICHTE AARP/191/2019 du 20 juin 2019</w:t>
      </w:r>
    </w:p>
    <w:p>
      <w:r>
        <w:t>IT: GE_GERICHTE AARP/191/2019 del 20 giugno 2019</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6B_622/2018 du 14 août 2018 consid. 2.1). Une décision n'est pas arbitraire du seul fait qu'elle apparaît discutable ou même critiquable; il faut qu'elle soit manifestement insoutenable et cela non seulement dans sa motivation mais aussi dans son résultat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w:t>
      </w:r>
    </w:p>
    <w:p>
      <w:r>
        <w:t>- 5/9 - P/13161/2018 insoutenables (ATF 143 IV 500 consid. 1.1 p. 503; 140 III 264 consid. 2.3 p. 266 et les références citées).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2.2</w:t>
      </w:r>
    </w:p>
    <w:p>
      <w:r>
        <w:t>L'art. 2 CP (applicable par renvoi de l'art. 1 al. 1 let. a de la loi pénale genevoise [LPG – E 4 05])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w:t>
      </w:r>
    </w:p>
    <w:p>
      <w:r>
        <w:rPr>
          <w:b/>
        </w:rPr>
        <w:t>E. 2.3</w:t>
      </w:r>
    </w:p>
    <w:p>
      <w:r>
        <w:t>Le règlement concernant la tranquillité publique a été abrogé par l'entrée en vigueur le 1er janvier 2018 du règlement sur la salubrité et la tranquillité publiques (RSTP – E 4 05.03 ; cf. art. 44 let. a). La teneur de l'art. 1 al. 1 aRTP est reprise à l'art. 16 RSTP, qui dispose que tout excès de bruit de nature à troubler la tranquillité publique est interdit. Selon les art. 1 al. 2</w:t>
      </w:r>
    </w:p>
    <w:p>
      <w:r>
        <w:t>- 6/9 - P/13161/2018 et 3 aRTP et 17 RSTP, entre 21 h et 7 h, tout acte de nature à troubler la tranquillité nocturne, notamment le repos des habitants, est interdit. L'art. 2 let. a aRTP prévoyait l'interdiction, de jour comme de nuit, de l'usage abusif d'instruments de musique ou d’appareils servant à la reproduction des sons (notamment appareils de radiophonie, gramophones, diffuseurs, haut-parleurs). L'art. 28 RSTP dispose que, dans la mesure où leurs émissions peuvent être perçues par des tiers, l'utilisation dans un logement ou un autre local d'appareils reproducteurs de sons (radio, télévision, chaîne haute fidélité, etc.) avec un volume excessif est interdite. Selon les art. 12 aRTP et 11D LPG, les contrevenants sont passibles de l'amende.</w:t>
      </w:r>
    </w:p>
    <w:p>
      <w:r>
        <w:rPr>
          <w:b/>
        </w:rPr>
        <w:t>E. 2.4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La coactivité suppose une décision commune, qui ne doit cependant pas obligatoirement être expresse, mais peut aussi résulter d'actes concluants, le dol éventuel quant au résultat étant suffisant.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Pour qu'il y ait coactivité, il suffit que le participant fasse sienne l'intention de l'autre auteur ; il n'est pas nécessaire qu'il ait contribué à la prise de décision. Le coauteur n'est responsable que de ce qui est compris dans son intention. Les actes commis par l'autre auteur et qui vont au-delà ne peuvent lui être imputés (ATF 118 IV 227 consid. 5d).</w:t>
      </w:r>
    </w:p>
    <w:p>
      <w:r>
        <w:rPr>
          <w:b/>
        </w:rPr>
        <w:t>E. 2.5</w:t>
      </w:r>
    </w:p>
    <w:p>
      <w:r>
        <w:t>En l'espèce, les faits reprochés à l'intimé ont été commis sous l'empire de l'ancien droit. Le nouveau droit ne lui étant pas plus favorable, l'ancien règlement sera applicable à la présente procédure. L'intimé argue ne pas être locataire de l'appartement, raison pour laquelle il ne peut pas être tenu responsable du bruit causé. Il importe toutefois peu de savoir s'il était simple convive ou domicilié à cette adresse, la loi ne prévoyant pas une responsabilité plus étendue à l'égard des locataires du tapage occasionné dans leur logement. Se pose en revanche la question de la coactivité, soit de savoir si l'intimé a fait sienne l'intention de E______ d'écouter un mardi à 23h51 de la musique à un volume excessif. Selon lui, sans qu'on puisse mettre en doute ses déclarations, son ami, dont la présence dans l'appartement a été confirmée par l'agent verbalisateur, avait monté</w:t>
      </w:r>
    </w:p>
    <w:p>
      <w:r>
        <w:t>- 7/9 - P/13161/2018 le son. Ils étaient a priori les seuls occupants des lieux, à consommer de l'alcool aux dires de l'intimé. Il paraît dans ces conditions hautement vraisemblable que ce dernier s'est accommodé de cette musique à fort volume. Il était en effet libre de s'en aller ou de demander à E______ de baisser le volume, ce dont il s'est abstenu, malgré le fait qu'il prétende ne pas avoir été d'accord. Il a cependant considéré qu'il n'avait pas à dicter à son ami son comportement dans son propre logement. Ainsi, dans la mesure où il existe un doute sur le fait que l'intimé ait été d'accord avec l'excès de bruit émanant de l'appartement en cause, le raisonnement dans ce sens du premier juge ne paraît pas manifestement inexact ou insoutenable. Son appréciation des faits n'est partant pas entachée d'arbitraire. L'appel du MP sera donc rejeté.</w:t>
      </w:r>
    </w:p>
    <w:p>
      <w:r>
        <w:rPr>
          <w:b/>
        </w:rPr>
        <w:t>E. 3</w:t>
      </w:r>
    </w:p>
    <w:p>
      <w:r>
        <w:t>En conséquence, il ne sera pas perçu de frais (art. 428 a contrario CPP). * * * * *</w:t>
      </w:r>
    </w:p>
    <w:p>
      <w:r>
        <w:t>- 8/9 - P/13161/2018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