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AARP/190/2019 vom 7. Juni 2019</w:t>
      </w:r>
    </w:p>
    <w:p>
      <w:r>
        <w:t>GE Cour de justice, 2019-06-07, FR</w:t>
      </w:r>
    </w:p>
    <w:p>
      <w:r>
        <w:rPr>
          <w:b/>
        </w:rPr>
        <w:t xml:space="preserve">Quelle: </w:t>
      </w:r>
      <w:r>
        <w:t>https://mcp.opencaselaw.ch/entscheid/ge_gerichte_AARP_190_2019</w:t>
      </w:r>
    </w:p>
    <w:p>
      <w:r>
        <w:t>FR: GE_GERICHTE AARP/190/2019 du 7 juin 2019</w:t>
      </w:r>
    </w:p>
    <w:p>
      <w:r>
        <w:t>IT: GE_GERICHTE AARP/190/2019 del 7 giugno 2019</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 Ainsi, les points non attaqués du jugement entrent en force à la date à laquelle le jugement de première instance a été rendu et ne peuvent plus être contestés (L. MOREILLON / A. PAREIN-REYMOND, Petit commentaire CPP, Bâle 2016, n. 1 et 4 ad art. 402 et les références citées).</w:t>
      </w:r>
    </w:p>
    <w:p>
      <w:r>
        <w:rPr>
          <w:b/>
        </w:rPr>
        <w:t>E. 1.2</w:t>
      </w:r>
    </w:p>
    <w:p>
      <w:r>
        <w:t>A titre liminaire, il sied de relever que seuls les chefs de brigandage (art. 140 ch. 1 CP) et d'agression (art. 134 CP) sont contestés en appel, de sorte que le verdict de culpabilité rendu par le Tribunal correctionnel à l'encontre de l'appelant est, au surplus, acquis.</w:t>
      </w:r>
    </w:p>
    <w:p>
      <w:r>
        <w:t>- 21/35 - P/15672/2018</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 ;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w:t>
      </w:r>
    </w:p>
    <w:p>
      <w:r>
        <w:t>- 22/35 - P/15672/2018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3.1.1. Aux termes de l'art. 140 ch. 1 CP, se rend coupable de brigandage celui qui commet un vol en usant de violence à l'égard d'une personne, en la menaçant d'un danger imminent pour la vie ou l'intégrité corporelle ou en la mettant hors d'état de résister. 3.1.2. Le brigandage est une forme aggravée du vol qui se caractérise par les moyens que l’auteur a employés (ATF 133 IV 207 consid. 4.2;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Dès lors que la victime se trouve à même de réagir et d'opposer une résistance effective à l'auteur, que ce dernier doit briser pour s'emparer de la chose mobilière appartenant à la victime, il y a brigandage et non vol (ATF 133 IV 207, consid. 4.4., 4.5. et 5). 3.1.3. La violence est toute action physique immédiate sur le corps de la personne, qui doit défendre la possession de la chose (ATF 133 IV 207 consid. 4.3.1). Il importe peu que la victime ait été mise dans l’incapacité de se défendre ; il suffit que l’auteur ait recouru aux moyens indiqués et que le vol ait été consommé (ATF 133 IV 207 consid. 4.3.1; arrêt du Tribunal fédéral 6B_356/2012 du 1er octobre 2012 consid. 1.2.1). Il convient ensuite d’établir le rapport de cause à effet entre la violence, la mise hors d’état de résister et le vol (ATF 107 IV 107 consid. 3c).</w:t>
      </w:r>
    </w:p>
    <w:p>
      <w:r>
        <w:t>La menace d'un danger imminent pour la vie ou l'intégrité corporelle, deuxième type de moyen de contrainte envisagé par le texte légal, doit être formulée à l'endroit de la victime, et concerner exclusivement les deux biens juridiques précités. La menace, qui peut être formulée explicitement ou par actes concluants (par exemple en manipulant ostensiblement une arme) doit être sérieuse et être objectivement propre à faire plier une personne moyenne dans la même situation que la victime (M. DUPUIS / L. MOREILLON / C. PIGUET / S. BERGER / M. MAZOU / V. RODIGARI [éds], Code pénal - Petit commentaire, 2e éd., Bâle 2017, n. 12 ad art. 140 et références citées).</w:t>
      </w:r>
    </w:p>
    <w:p>
      <w:r>
        <w:t>3.1.4. Sur le plan subjectif, l'intention doit porter sur tous les éléments constitutifs de l'infraction et donc notamment sur le moyen de contrainte utilisé, soit la violence ou la menace d'un danger imminent pour la vie ou l'intégrité corporelle à l'égard d'une</w:t>
      </w:r>
    </w:p>
    <w:p>
      <w:r>
        <w:t>- 23/35 - P/15672/2018 personne ou le fait de la mettre hors d'état de résister. L'auteur doit également avoir le dessein de s'approprier la chose et de se procurer ou de procurer à un tiers un enrichissement illégitime (B. CORBOZ, Les infractions en droit suisse, vol. I, 3e éd., Berne 2010, n. 1 à 11 ad art. 140 CP). 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Ce concept de coactivité montre qu'une personne peut être considérée comme auteur d'une infraction, même si elle n'en est pas l'auteur direct, c'est-à-dire si elle n'a pas accompli elle-même tous les actes décrits dans la disposition pénale (ATF 120 IV 17 consid. 2d p. 23 s.). 3.3. L'appelant persiste à contester son implication dans le brigandage commis au préjudice de F______ la nuit du 7 novembre 2015, à proximité du rond-point de Rive. Ses dénégations sont peu crédibles. En effet, la victime a livré un récit détaillé, constant et cohérent des faits. Il en ressort en particulier que deux hommes lui ont barré le passage, dont l'un qu'elle a identifié comme étant l'appelant, alors qu'elle était au téléphone. L'appelant lui a ensuite mis son bras autour du cou, ce qui a eu pour effet de la faire tomber et lâcher son téléphone. Les deux hommes lui ont donné des coups. Son téléphone a disparu après son agression. Or, I______ et l'appelant ont été interpellés le 7 novembre 2015 à la rue de la Croix- d'Or [no.] ______, soit non loin du rond-point de Rive. I______ a reconnu l'agression de F______ pour lui voler son téléphone portable, commise de concert avec A______, profitant de ce que la victime était seule et tenait</w:t>
      </w:r>
    </w:p>
    <w:p>
      <w:r>
        <w:t>- 24/35 - P/15672/2018 son téléphone portable dans la main. Son revirement ultérieur consistant à soutenir qu'il a agi seul, tout en expliquant de manière confuse qu'il se trouvait bien avec A______ en début de soirée et sans expliquer la raison pour laquelle ils se seraient ensuite séparés, n'est pas crédible. Face à ces éléments accablants, l'appelant a fourni des déclarations variées et inconsistantes, indiquant d'abord qu'il ne devait pas se souvenir de tels faits parce qu'il était peut-être sous l'effet de stupéfiants, puis qu'il n'était pas présent, se trouvant en Colombie à la même date. Or, l'appelant n'a jamais prouvé la réalité de ce voyage, alors qu'il lui eût été aisé de le faire. De plus, sa mère a indiqué à la police qu'il y était parti le 12 novembre 2015. Au vu de ces éléments, la CPAR a acquis la conviction que, conformément aux déclarations crédibles de F______, corroborées par les constatations de la police et les aveux initiaux de I______, l'appelant a, de concert avec ce dernier, commis des actes de violence à l'encontre de F______, de façon à le mettre hors d'état de résister et à lui soustraire son téléphone portable, sans qu'il importe de déterminer qui des deux auteurs a finalement gardé l'objet et ce qu'il en a fait. Il ressort clairement des déclarations de I______ que l'attention des comparses, et leur intention délictueuse commune est née du fait que la victime était seule et au téléphone, de sorte qu'il doit être retenu qu'ils ont tous deux pleinement collaboré aux actes de chacun pour soustraire cet objet à leur victime, laquelle a subi dans ce but des atteintes à son intégrité corporelle. Ces faits sont indiscutablement constitutifs de brigandage, de sorte que le verdict de culpabilité rendu de ce chef à l'encontre de l'appelant doit être confirmé.</w:t>
      </w:r>
    </w:p>
    <w:p>
      <w:r>
        <w:t>4.1.1.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4.1.2. Pour que l'infraction d'agression soit retenue, il faut qu'une ou plusieurs des personnes agressées soient blessées ou tuées. Il s'agit là d'une condition objective de punissabilité (arrêt du Tribunal fédéral 6B_101/2014 du 10 novembre 2014</w:t>
      </w:r>
    </w:p>
    <w:p>
      <w:r>
        <w:t>- 25/35 - P/15672/2018 consid. 2). La mort ou la lésion corporelle doivent résulter de l'agression ou des événements qui l'ont suivi immédiatement (cf. ATF 106 IV 246 consid. 3f p. 253 ; arrêt du Tribunal fédéral 6B_658/2008 du 6 février 2009 consid. 3.1.). 4.1.3. L'agression étant une infraction de mise en danger abstraite, la participation de l'auteur à une agression suffit pour qu'il soit punissable, sans égard à sa responsabilité s'agissant de la lésion survenue (ATF 118 IV 227 consid. 5b p. 229 ; ATF B5 IV 152 consid. 2.1.1 p. 153-154). Toute personne qui se joint aux agresseurs, quel que soit le rôle qu'elle assume concrètement, réalise le comportement typique. La participation peut être également d'ordre psychique ou verbale, si deux personnes au moins exercent des violences (M. DUPUIS et al., op. cit., n. 4 ad art. 134 et références citées). 4.1.4. Si l'auteur doit participer intentionnellement à l'agression, il n'est toutefois pas nécessaire qu'il veuille ou accepte qu'une personne soit tuée ou blessée. Le dol éventuel suffit (M. DUPUIS et al., op. cit., n. 5 ad art. 134 et références citées). 4.2. L'appelant nie avoir pris part à l'agression de D______ et E______ le 20 avril 2017, également de manière peu convaincante. En effet, les parties plaignantes ont toutes deux fourni des déclarations constantes et concordantes, lesquelles ont globalement été corroborées par celles des témoins S______, T______ et M______, et, apparaissent ainsi crédibles. Il en ressort qu'elles ont fait l'objet d'une agression gratuite de la part de l'appelant et de son comparse, ceux-ci ayant "surgi" sans mot dire et leur ayant porté des coups, contre lesquels E______ a tenté de se défendre ‒ et de protéger sa petite sœur ‒ avec l'aide de son ami M______, ceci alors que les plaignants cheminaient normalement dans la rue pour rentrer à leur domicile. Le témoin V______, qui n'a pas assisté à l'ensemble des évènements, a toutefois confirmé l'attitude agressive de l'appelant et de son comparse à l'égard de E______, alors que M______, ami de ce dernier, tentait de calmer la situation. L'appelant a varié dans ses déclarations et s'est contredit. Après avoir catégorique- ment contesté sa participation à l'agression, il a reconnu avoir été confronté à une altercation avec le groupe des plaignants, alors qu'il se trouvait avec son ami "W______". Il a admis que tous deux avaient donné un premier coup à D______ et que lui-même avait donné des coups à E______, qui lui en a "aussi mis", tout en soutenant que c'était les parties plaignantes qui les avaient provoqués. Or, l'hypothèse d'une ouverture des hostilités par les plaignants n'est soutenue par aucun élément et n'est ainsi pas crédible, d'autant que le groupe de ces derniers était composé en majorité de jeunes filles. L'appelant n'a d'ailleurs pas pu précisément indiquer ce que les parties plaignantes auraient dit en guise de provocations, tandis qu'il est ressorti de manière invariable des dépositions et témoignages recueillis qu'aucun mot n'avait été échangé avant les coups, l'appelant et son comparse donnant l'impression de vouloir uniquement se battre. Quoi qu'il en soit, même en réponse à</w:t>
      </w:r>
    </w:p>
    <w:p>
      <w:r>
        <w:t>- 26/35 - P/15672/2018 d'éventuels propos, les coups portés par l'appelant et son comparse aux parties plaignantes ‒ qui plus est, pour certains, au moyen d'une petite enceinte de musique ‒ étaient parfaitement disproportionnés, telles qu'en témoignent les lésions subies par celles-ci, notamment au visage, et donc intolérables. E______ a d'ailleurs dû immédiatement se rendre aux Urgences pour bénéficier de soins. Dans ces conditions et au vu des lésions constatées, l'appelant ne saurait également être suivi lorsqu'il prétend que son alcoolisation l'aurait empêché de donner des coups ou de faire "vraiment mal", après avoir indiqué que c'était précisément son état qui l'avait empêché de poursuivre son chemin malgré les éventuels propos des plaignants. L'appelant a, en outre, pris la fuite sans peine et a même eu, par la suite, la présence d'esprit de retourner sur les lieux chercher sa chaussure perdue. Compte tenu de ce qui précède, la participation de l'appelant, aux côtés de son comparse, à l'agression des plaignants D______/E______ ‒ lesquels ont, de ce fait, subi diverses lésions corporelles ‒ est établie, sans qu'il ne soit nécessaire de déterminer précisément quelle atteinte l'appelant a occasionné à chacun de ceux-ci. Le verdict de culpabilité de l'appelant du chef d'infraction à l'art. 134 CP doit donc également être confirmé.</w:t>
      </w:r>
    </w:p>
    <w:p>
      <w:r>
        <w:rPr>
          <w:b/>
        </w:rPr>
        <w:t>E. 5.1</w:t>
      </w:r>
    </w:p>
    <w:p>
      <w:r>
        <w:t>Le brigandage, au sens de l'art. 140 ch. 1 CP – dans sa version en vigueur jusqu'au 31 décembre 2017 et ici applicable −, était réprimé d'une peine privative de liberté de dix ans au plus ou d'une peine pécuniaire de 180 jours-amende au moins (depuis le 1er janvier 2018 : peine privative de liberté de six mois au moins et de dix ans au plus, en conséquence moins favorable).</w:t>
      </w:r>
    </w:p>
    <w:p>
      <w:r>
        <w:t>L'agression, selon l'art. 134 CP, est sanctionnée d'une peine privative de liberté de cinq ans au plus ou d'une peine pécuniaire.</w:t>
      </w:r>
    </w:p>
    <w:p>
      <w:r>
        <w:t>Les dommages à la propriété (art. 144 al. 1 CP), l'infraction à l'art. 33 al. 1 let. a LArm, la violation grave des règles de la circulation routière (art. 90 al. 2 LCR), la conduite en état d'ébriété qualifié (art. 91 al. 2 let. a LCR), la conduite en état d'incapacité (art. 91 al. 2 let. b LCR), le vol d'usage d'un véhicule (art. 94 al. 1 let. a LCR), la conduite sans permis de conduire (art. 95 al. 1 let. a LCR) et la conduite sans assurance responsabilité civile (art. 96 al. 2 LCR) sont passibles d'une peine privative de liberté de trois ans au plus ou d'une peine pécuniaire. L'empêchement d'accomplir un acte officiel (art. 286 CP) est puni d'une peine pécuniaire de 30 jours-amende au plus. La violation simple des règles de la circulation routière (art. 90 al. 1 LCR), l'infraction à l'art. 19a ch. 1 LStup et celle à l'art. 11D al. 1 LPG sont réprimées de l'amende. 5.2.1. Le 1er janvier 2018, sont entrées en vigueur des nouvelles dispositions sur le droit des sanctions. Il découle de l'art. 2 al. 1 et 2 CP que l'on applique en principe la</w:t>
      </w:r>
    </w:p>
    <w:p>
      <w:r>
        <w:t>- 27/35 - P/15672/2018 loi en vigueur au moment où l'acte a été commis, à moins que la nouvelle loi ne soit plus favorable à l'auteur (principe de la non-rétroactivité de la loi pénale et exception de la lex mitior ; arrêts du Tribunal fédéral 6B_496/2012, 6B_503/2012 du 18 avril 2013 consid. 8.1).</w:t>
      </w:r>
    </w:p>
    <w:p>
      <w:r>
        <w:t>5.2.2. En l'occurrence, il sera fait application de ce nouveau droit, celui-ci apparaissant in concreto plus favorable à l'appelant, en tant qu'il permet la fixation d'une peine d'ensemble en cas de révocation d'un sursis portant sur une peine de même genre, tel que cela sera exposé ci-après.</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En général, la culpabilité de l'auteur est amplifiée du fait qu'il n'a pas tenu compte de l'avertissement constitué par une précédente condamnation, et sa rechute témoigne d'une énergie criminelle accrue (R. ROTH / L. MOREILLON [éds], Code pénal I : art. 1-100 CP, Bâle 2009, n. 55 ad art. 47 CP). Une série d'infractions semblables pèse plus lourd que des actes de nature différente (ATF 135 IV 87 consid. 2 p. 89).</w:t>
      </w:r>
    </w:p>
    <w:p>
      <w:r>
        <w:rPr>
          <w:b/>
        </w:rPr>
        <w:t>E. 5.4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- 28/35 - P/15672/2018 pénales applicables prévoient, de manière abstraite, des peines d'un même genre ne suffit pas (ATF 138 IV 120 consid. 5.2 p. 122 ss).</w:t>
      </w:r>
    </w:p>
    <w:p>
      <w:r>
        <w:rPr>
          <w:b/>
        </w:rPr>
        <w:t>E. 5.5</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une peine d'ensemble (art. 89 al. 6 CP).</w:t>
      </w:r>
    </w:p>
    <w:p>
      <w:r>
        <w:rPr>
          <w:b/>
        </w:rPr>
        <w:t>E. 5.6</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5.7.1. La faute de l'appelant est lourde. Il s'en est pris à l'intégrité physique, voire psychique, de trois personnes de manière non négligeable (plaignants F______ et D______/E______), ainsi qu'au patrimoine d'autrui à trois reprises (plaignants F______, L______ et P______). Il a enfreint de multiples et importantes règles de la LCR, de nature à mettre concrètement en danger les autres usagers de la route. Il a agi pour des motifs futiles, égoïstes, en raison d'une colère mal maîtrisée et au mépris total de l'ordre juridique suisse. La période pénale est longue, en raison de ses incessantes récidives, s'étendant de 2015 à 2017. Il sera tenu compte de la responsabilité très faiblement à faiblement restreinte de l'appelant retenue en substance par l'expert, conduisant à retenir une faute globalement grave. Il y a concours d'infractions, ce qui constitue un facteur aggravant, étant rappelé que l'infraction la plus grave, soit le brigandage, est passible d'une peine privative de liberté allant jusqu'à dix ans. La collaboration de l'appelant à la procédure a été mauvaise, au vu de ses dénégations persistantes, basées sur des explications incohérentes ou manifestement contraires aux preuves recueillies, ou de ses tentatives de minimiser certains de ses actes. De même, sa prise de conscience est médiocre, l'appelant n'ayant eu de cesse</w:t>
      </w:r>
    </w:p>
    <w:p>
      <w:r>
        <w:t>- 29/35 - P/15672/2018 de se retrancher derrière ses problèmes de consommation de stupéfiants et d'alcool ou ses mauvaises fréquentations. Elle apparaît entamée tout au plus par souci des répercussions de ses actes vis-à-vis de lui-même. Les quelques excuses exprimées apparaissent ainsi de pure convenance personnelle. Sa situation n'explique en rien son comportement. L'appelant a de la famille à Genève, dont sa mère chez qui il résidait, et bénéficiait d'une rente AI entière, de sorte qu'il ne se trouvait pas dans le dénuement. A plusieurs occasions, la possibilité de traiter les troubles dont il souffre et qui sont, du moins partiellement, en lien avec sa tendance à la violence et à la délinquance lui a été donnée, sans qu'il ne saisisse cette chance. Alors qu'il en aurait eu la possibilité, il n'a recherché aucune autre occupation que ses méfaits. Le prévenu a de nombreux antécédents, pour la plupart spécifiques, notamment en matière de brigandage. Il a récidivé durant les délais d'épreuve de sursis et d'une libération conditionnelle précédemment accordés, et malgré les mesures de substitution encore octroyées en dernier lieu ‒ dont la violation a eu pour effet de le replacer en détention ‒, démontrant un profond ancrage dans la délinquance. Le pronostic est clairement négatif, de sorte qu'il convient de révoquer les sursis des 22 juillet 2014 et 26 mai 2015, de même que la libération conditionnelle accordée le 19 août 2016 et de prononcer des peines fermes d'ensemble, tant en la forme d'une peine privative de liberté que d'une peine pécuniaire. Eu égard à l'ensemble des circonstances, une peine privative de liberté d'ensemble de 28 mois ‒ sous déduction de la détention provisoire ‒, pour sanctionner les infractions les plus graves de brigandage, d'agression, de dommages à la propriété, d'infraction à la LArm, de violation grave des règles de la circulation routière et de conduite en état d'ébriété qualifié et en état d'incapacité, apparaît proportionnée à la faute de l'appelant et appropriée à sa situation personnelle. Une peine pécuniaire d'ensemble de 150 jours-amende, à CHF 30.- l'unité, est également adéquate pour punir les autres infractions à la LCR retenues, dont le vol d'usage d'un véhicule, la conduite sans permis de conduire et sans assurance responsabilité civile, ainsi que l'empêchement d'accomplir un acte officiel. S'agissant des contraventions commises, le prononcé d'une amende de CHF 500.- et d'une peine privative de liberté de substitution de cinq jours est également approprié. En définitive, les peines prononcées par les premiers juges sont parfaitement justifiées et doivent être confirmées. 5.7.2. Au surplus, vu les troubles dont souffre l'appelant et les conclusions de l’expertise réalisée à ce sujet, il ne convient pas de revenir sur le prononcé d’un traitement ambulatoire psychothérapeutique et addictologique au sens de</w:t>
      </w:r>
    </w:p>
    <w:p>
      <w:r>
        <w:t>- 30/35 - P/15672/2018 l’art. 63 CP, qui apparaît essentiel pour pallier le risque élevé de récidive. L'appelant, qui a manifesté le souhait de s'y soumettre, ne le conteste d'ailleurs pas. Il n'y a pas lieu d'ordonner une assistance de probation au vu de la peine ferme prononcée et compte tenu de l'expulsion de l'appelant qui devra être exécutée au terme de cette peine, pour les motifs qui vont suivre.</w:t>
      </w:r>
    </w:p>
    <w:p>
      <w:r>
        <w:rPr>
          <w:b/>
        </w:rPr>
        <w:t>E. 6</w:t>
      </w:r>
    </w:p>
    <w:p>
      <w:r>
        <w:t>6.1.1. Les dispositions sur l'expulsion ne s'appliquent qu'aux infractions commises à partir du 1er octobre 2016.</w:t>
      </w:r>
    </w:p>
    <w:p>
      <w:r>
        <w:t>6.1.2. Conformément à l'art. 66a al. 1 let. b CP, le juge expulse un étranger du territoire suisse pour une durée de cinq à quinze ans notamment s'il est reconnu coupable d'agression (art. 134 CP). 6.1.3. Selon l'art. 66a al. 2 CP, le juge peut exceptionnellement renoncer à l'expulsion lorsque celle-ci mettrait l'étranger dans une situation personnelle grave et que l'intérêt public à l'expulsion ne l'emporte pas sur son intérêt privé à demeurer en Suisse, la situation de celui qui est né et a grandi en Suisse méritant une prise en compte particulière (AARP/119/2017 du 20 mars 2017 consid. 4.1). L'art. 66a al. 2 CP définit une "Kannvorschrift", en ce sens que le juge n'a pas l'obligation de renoncer à l'expulsion, mais peut le faire si les conditions fixées par cette disposition sont remplies, lesquelles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p. 96 ss ; A. BERGER, Umsetzungsgesetzgebung zur Ausschaffungsinitiative, in Jusletter 7 août 2017 n. 6.1 p. 20).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(arrêts du Tribunal fédéral 6B_1027/2018 du 7 novembre 2018 consid. 1.3 ; 6B_724/2018 du 30 octobre 2018 consid. 2.3.2 et les références). Dans l'examen de la proportionnalité, le comportement de l'auteur tel qu'il ressort du dossier pénal peut être pris en considération, y compris, le cas échéant, les antécédents radiés (cf. B. SAUTEREL, Plaidoyer 6/18, revue juridique et politique du 3 décembre 2018, p. 7 ; AARP/401/2018 du 12 décembre 2018 consid. 5.1.). En règle générale, il convient d'admettre l'existence d'un cas de rigueur au sens de l'art. 66a al. 2 CP lorsque l'expulsion constituerait, pour l'intéressé, une ingérence</w:t>
      </w:r>
    </w:p>
    <w:p>
      <w:r>
        <w:t>- 31/35 - P/15672/2018 d'une certaine importance dans son droit au respect de sa vie privée et familiale garanti par la Constitution fédérale (art. 13 Cst.) et par le droit international, en particulier l'art. 8 CEDH (arrêts 6B_1027/2018 du 7 novembre 2018 consid. 1.4 ; 6B_724/2018 du 30 octobre 2018 consid. 2.3.2 ; 6B_371/2018 du 21 août 2018 consid. 2.5). Pour se prévaloir du droit au respect de la vie privée, l'étranger doit établir l'existence de liens sociaux et professionnels spécialement intenses avec la Suisse, notablement supérieurs à ceux qui résultent d'une intégration ordinaire (arrêt du Tribunal fédéral 6B_1299/2017 du 10 avril 2018 consid. 2.4 et les références).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Ce droit n'est toutefois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6.1.4. La jurisprudence de la CourEDH ne reconnait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CourEDH D. c. Royaume-Uni, requête n° 30240796, 2 mai 1997, § 54 ; arrêt CourEDH Emre c. Suisse, requête n° 42034/04, 22 mai 2008, § 89 ss ; arrêt CourEDH Tatar c. Suisse, requête n° 65692/12, 14 avril 2015, § 43 ; AARP/185/2017 du 2 juin 2017 consid. 2.2).</w:t>
      </w:r>
    </w:p>
    <w:p>
      <w:r>
        <w:rPr>
          <w:b/>
        </w:rPr>
        <w:t>E. 6.2</w:t>
      </w:r>
    </w:p>
    <w:p>
      <w:r>
        <w:t>Compte tenu de la confirmation du verdict de culpabilité de l'appelant pour agression, eu égard à des faits survenus après le 1er octobre 2016, son expulsion de Suisse doit être ordonnée, sous réserve de la réalisation de la clause de rigueur.</w:t>
      </w:r>
    </w:p>
    <w:p>
      <w:r>
        <w:t>- 32/35 - P/15672/2018 Certes, l'appelant est arrivé en Suisse à l'âge de cinq ans, de sorte qu'il y a résidé 18 ans, au bénéfice d'un permis d'établissement, avec sa mère, sa demi-sœur et son demi-frère. Cela étant, on ne saurait considérer que l'appelant a noué des liens sociaux et professionnels particulièrement intenses avec la Suisse au fil de ces années. Il a bénéficié d'un soutien de l'autorité publique et un encadrement médical lui a, à différentes reprises, été proposé, mais cela sans résultat probant. Il a occupé la justice pénale, déjà en tant que mineur, une bonne partie de ces années, n'ayant pas eu d'autre véritable occupation que ses méfaits. Ses relations avec sa famille ne paraissent pas spécialement étroites, sa mère n'ayant pas hésité à l'envoyer en Colombie à titre de punition pour une durée de trois mois et ses liens avec sa demi- sœur, qu'il s'estime en droit de "corriger", ne paraissent pas vraiment harmonieuses. Ainsi, les années passées en Suisse ne lui ont pas véritablement permis de fonder un socle de valeur autour de liens familiaux et sociaux. Rien ne permet de penser que son intégration en Colombie serait particulièrement difficile, dès lors qu'il en maîtrise la langue, à tout le moins de manière à se faire comprendre dans la vie quotidienne, et y a de la famille, dont son père. Il y a d'ailleurs effectué deux séjours de trois mois en 2015 et 2017, et y a même trouvé une occupation auprès d'un menuisier cette dernière année, chose qu'il n'est pas parvenu à faire en Suisse. En outre, les troubles dont souffre l'appelant ne sont pas d'une gravité telle qu'ils ne pourraient être traités en Colombie. Dès lors, il n'apparaît pas que l'appelant se trouvera, en Colombie, dans une situation sensiblement plus défavorable qu'en Suisse, où ses chances de réinsertion sociale ne sont pas particulièrement bonnes. Le précité, qui sollicite une énième chance des autorités judiciaires, persiste en effet à consommer des toxiques en prison, n'en respecte pas toutes les règles, n'a entrepris aucun traitement, ni établi un véritable projet futur. Partant, il ne peut faire valoir un intérêt privé prépondérant à demeurer en Suisse face à l'intérêt public manifeste qui existe à ordonner son expulsion du territoire, au vu de ses agissements délictueux qui s’ajoutent à plusieurs antécédents et dénotent un mépris persistant pour l’ordre juridique suisse, et de son intégration médiocre. Son expulsion du territoire suisse pour la durée minimale de cinq ans, ordonnée par le premier juge, est ainsi proportionnée et se justifie pleinement. Le jugement entrepris doit donc, en définitive, être intégralement confirmé.</w:t>
      </w:r>
    </w:p>
    <w:p>
      <w:r>
        <w:rPr>
          <w:b/>
        </w:rPr>
        <w:t>E. 7</w:t>
      </w:r>
    </w:p>
    <w:p>
      <w:r>
        <w:t>L'appelant, qui succombe, supportera les frais de la procédure envers l'État, comprenant un émolument de CHF 2'000.- (art. 428 CPP et art. 14 al. 1 let. e du Règlement fixant le tarif des frais en matière pénale ; E 4 10.03).</w:t>
      </w:r>
    </w:p>
    <w:p>
      <w:r>
        <w:rPr>
          <w:b/>
        </w:rPr>
        <w:t>E. 8.1</w:t>
      </w:r>
    </w:p>
    <w:p>
      <w:r>
        <w:t>Selon l'art. 135 al. 1 CPP, le défenseur d'office est indemnisé conformément au tarif des avocats du canton du for du procès. L'art. 16 du règlement sur l'assistance juridique du 28 juillet 2010 (RAJ ; E 2 05.04) dispose que l'indemnité, en matière</w:t>
      </w:r>
    </w:p>
    <w:p>
      <w:r>
        <w:t>- 33/35 - P/15672/2018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8.2</w:t>
      </w:r>
    </w:p>
    <w:p>
      <w:r>
        <w:t>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8.4</w:t>
      </w:r>
    </w:p>
    <w:p>
      <w:r>
        <w:t>En l'occurrence, la note de frais produite par le défenseur d'office de A______ est globalement adéquate, sous réserve de l'heure consacrée à la rédaction de la déclaration d'appel, dans la mesure où cette prestation est incluse dans le forfait pour activités diverses et où une telle écriture ne requiert pas de motivation.</w:t>
      </w:r>
    </w:p>
    <w:p>
      <w:r>
        <w:t>En conclusion, l'indemnité due à Me C______ sera arrêtée à CHF 2'240.15, correspondant à 9h00 d'activité au tarif horaire de CHF 200.-, plus la majoration forfaitaire de 10% − l'activité globale déployée excédant 30h00 – (CHF 180.-), CHF 100.- de frais de déplacement à l'audience devant la CPAR, ainsi que l'équivalent de la TVA au taux de 7.7% (CHF 160.15).</w:t>
      </w:r>
    </w:p>
    <w:p>
      <w:r>
        <w:t>* * * * *</w:t>
      </w:r>
    </w:p>
    <w:p>
      <w:r>
        <w:t>- 34/35 - P/15672/2018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