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AARP/188/2018 vom 21. Juni 2018</w:t>
      </w:r>
    </w:p>
    <w:p>
      <w:r>
        <w:t>GE Cour de justice, 2018-06-21, FR</w:t>
      </w:r>
    </w:p>
    <w:p>
      <w:r>
        <w:rPr>
          <w:b/>
        </w:rPr>
        <w:t xml:space="preserve">Quelle: </w:t>
      </w:r>
      <w:r>
        <w:t>https://mcp.opencaselaw.ch/entscheid/ge_gerichte_AARP_188_2018</w:t>
      </w:r>
    </w:p>
    <w:p>
      <w:r>
        <w:t>FR: GE_GERICHTE AARP/188/2018 du 21 juin 2018</w:t>
      </w:r>
    </w:p>
    <w:p>
      <w:r>
        <w:t>IT: GE_GERICHTE AARP/188/2018 del 21 giugno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L'art. 9 CPP consacre la maxime d'accusation, laquelle découle également des art. 29 al. 2 de la Constitution fédérale de la Confédération suisse du 18 avril 1999 (Cst. - RS 101 ; droit d'être entendu), 32 al. 2 Cst.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w:t>
      </w:r>
    </w:p>
    <w:p>
      <w:r>
        <w:t>- 17/33 - P/6651/2010 2.1.2.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Il n'empêche pas l'autorité de jugement de s'écarter de l'état de fait ou de la qualification juridique retenus dans la décision de renvoi ou l'acte d'accusation, à condition toutefois que les droits de la défense soient respectés (ATF 126 I 19 consid. 2a et c p. 21 ss ; arrêt du Tribunal fédéral 6B_947/2015 du 29 juin 2017 consid. 7.1 et les références).</w:t>
      </w:r>
    </w:p>
    <w:p>
      <w:r>
        <w:t>2.1.3.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(arrêts du Tribunal fédéral 6B_275/2016 du 9 décembre 2016 consid. 2.1 ; 6B_58/2016 du 18 août 2016 consid. 1.1).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2.1.4. Le tribunal est lié par l'état de fait décrit dans l'acte d'accusation (immutabilité de l'acte d'accusation) mais peut s'écarter de l'appréciation juridique qu'en fait le</w:t>
      </w:r>
    </w:p>
    <w:p>
      <w:r>
        <w:t>- 18/33 - P/6651/2010 ministère public (art. 350 al. 1 CPP), à condition d'en informer les parties présentes et de les inviter à se prononcer (art. 344 CPP). L'art. 333 al. 1 CPP prévoit que le tribunal donne au ministère public la possibilité de modifier l'accusation lorsqu'il estime que les faits y exposés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Le tribunal peut toutefois retenir dans son jugement des faits ou des circonstances complémentaires, lorsque ceux-ci sont secondaires et n'ont aucune influence sur l'appréciation juridique (au sujet des vices de moindre importance de l'acte d'accusation : arrêt du Tribunal fédéral 6B_947/2015 du 29 juin 2017 consid. 7.1 et les références). 2.1.5. A teneur de l'art. 343 al. 1 CPP, le tribunal procède à l'administration de nouvelles preuves ou complète les preuves administrées de manière insuffisante. Les preuves qui ont été administrées de manière insuffisante doivent être complétées; le tribunal est en effet tenu de rechercher d'office tous les faits pertinents, qu'ils soient charge ou à décharge, pour établir la vérité matérielle, il lui appartient donc de dissiper toute incertitude soulevée par un moyen de preuve insuffisamment administré (L. MOREILLON / A. PAREIN-REYMOND, CPP, Code de procédure pénale, Bâle 2016, note 5 ad art. 343). 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2.2.2.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w:t>
      </w:r>
    </w:p>
    <w:p>
      <w:r>
        <w:t>- 19/33 - P/6651/2010 fédéral 6B_1145/2014 du 26 novembre 2015 consid. 1.2 et 6B_748/2009 du 2 novembre 2009 consid. 2.1). 2.2.3.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2.3</w:t>
      </w:r>
    </w:p>
    <w:p>
      <w:r>
        <w:t>= SJ 2017 I 37 ; 6B_495/2014 du 6 octobre 2014 consid. 2.1 ; 6B_965/2013 du 3 décembre 2013 consid. 3.1.1 ; A. KUHN / Y. JEANNERET [éds.], Commentaire romand : Code de procédure pénale suisse, Bâle 2011, n. 8 ad art. 433 ; N. SCHMID, op. cit., n. 3 ad art. 433).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2.6</w:t>
      </w:r>
    </w:p>
    <w:p>
      <w:r>
        <w:t>En l'espèce, la CPAR tient pour établi sur la base des pièces de la procédure que l'appelant et les deux intimés se sont trouvés en relation dès 1997, moment où ces derniers ont confié au premier la gestion de leurs avoirs. Les intimés, tenant l'appelant pour responsable d'importantes pertes, l'ont actionné une première fois devant le Tribunal de ______, en D______, pays de leur domiciliation. Aux dires de l'appelant, leur litige remonte à 1999. Le 21 septembre 2002, ledit tribunal a rendu une décision autorisant les appelants à procéder à l'inscription d'une hypothèque sur les parts de copropriété détenues par l'appelant à E______, décision dont l'exéquatur a toutefois été refusée par arrêt de la Cour de justice du 10 septembre 2003. Le 29 novembre 2005, les intimés ont derechef actionné l'appelant en dommages- intérêts en raison d'agissements illicites, devant ce même tribunal en D______, requête dont l'appelant a reconnu avoir eu connaissance "probablement" en décembre de la même année. Ils ont obtenu le prononcé du jugement du 3 mai 2007, notifié à l'appelant le 10 juillet 2007 lequel, une fois exéquaturé à Genève, leur a permis de requérir la poursuite de A______ en mai 2009 pour la partie exécutoire à hauteur de EUR 50'000.- chacun, sur le dédommagement concédé à hauteur de EUR 149'246.- chacun également. Dans le cadre de ces deux poursuites, un premier procès-verbal de saisie, valant acte de défaut de biens, a été établi le 1er avril 2010, faute de biens mobiliers saisissables, excepté un salaire permettant une retenue mensuelle de CHF 1'961.-. Il n'est cependant pas entré en force du fait de la plainte déposée par les deux plaignants après de la CSO. En revanche, tel est le cas des deux actes de défaut de biens du 18 décembre 2012, de sorte que l'une des conditions alternatives de l'art. 163 ch. 1 CP est réalisée. 3.1.1. L'appelant a allégué durant la procédure, que le jugement D______ du 3 mai 2007 était sur le point d'être annulé en sa faveur, ce dont il n'a rien été. Au contraire,</w:t>
      </w:r>
    </w:p>
    <w:p>
      <w:r>
        <w:t>- 24/33 - P/6651/2010 ledit jugement a été confirmé en dernier lieu, malgré deux demandes, en cassation et en révision initiées par ses soins, en janvier 2009 et définitivement en novembre 2014. 3.1.2. Il est également établi que l'appelant a reçu, le 26 mars 2007, sur son compte ouvert auprès de F______, la somme de CHF 1'252'043.- représentant le bénéfice afférent à la vente, réalisée le 19 mars 2007, de biens immobiliers lui appartenant à E______ depuis 2001.</w:t>
      </w:r>
    </w:p>
    <w:p>
      <w:r>
        <w:t>Il est encore prouvé que l'intimé a, par le débit de ce même compte, transféré par chèque, à G______, son père, sur son compte auprès de O______, CHF 480'035.-, le 27 avril 2007, puis CHF 700'000.- le 8 juin 2007, montants qui ont dans la foulée, soit le jour-même de leur réception, été virés sur le compte auprès de cette même banque d'une société incorporée à Q______ dont G______ notamment était l'ayant- droit économique. L'appelant a produit, en février 2016 seulement, un contrat de prêt, signé par son père seul, du mois de novembre 2000, apte selon lui à étayer le prêt concédé par celui-ci d'un montant de CHF 480'000.- en vue de l'acquisition d'un appartement, laquelle est effectivement intervenue, quelques mois plus tard, selon contrat du 7 mars 2001. Aucune pièce bancaire ne vient documenter le transfert de ces fonds, du père au fils. Cette dette apparait dans les déclarations fiscales de l'appelant dès l'année 2004 au plus tard, puis plus dès 2007. L'appelant a varié dans ses déclarations, prétendant tantôt avoir emprunté CHF 780'000.- à son père en vue de l'acquisition de son appartement et lui avoir consenti un prêt de CHF 480'000.- en avril 2007, tantôt lui avoir emprunté ce dernier montant en 2000 pour ledit achat et lui avoir prêté CHF 700'000.- au moment de la vente de ce bien immobilier au printemps 2007. Ce n'est que devant le premier juge qu'il a finalement évoqué avoir confié ces CHF 700'000.- à son père pour gestion. Ainsi, il est permis de douter de la réalité du prêt invoqué en lien avec l'achat immobilier. Bien plus, la version d'un prêt concédé à son tour à son père de CHF 700'000.- au printemps 2007, étayée par nul contrat, ne fait aucun sens dans la mesure où il est établi par les relevés de O______ qu'au moment de la réception de ce montant sur le compte détenu à son nom, G______ y détenait, sous la forme de dépôt fiduciaire placé à terme, plus de USD 9 mio, soit une fortune le mettant clairement à l'abri du besoin et ne nécessitant pas l'aide de son fils qui au contraire n'avait plus que ce montant comme capital. L'appelant a d'ailleurs bien compris qu'il ne s'agissait plus d'une tactique de défense convaincante, ce qui l'a amené à modifier son argumentation devant le premier juge s'agissant de la raison de ce transfert de CHF 700'000.- et même, au stade de l'appel seulement, de déposer une attestation de son père établie le 18 décembre 2017 où il n'est plus question d'un prêt mais d'argent confié en vue de le faire fructifier.</w:t>
      </w:r>
    </w:p>
    <w:p>
      <w:r>
        <w:t>- 25/33 - P/6651/2010 Il en résulte qu'au printemps 2007, l'appelant a par les deux transferts susmentionnés, mis l'intégralité du produit de la vente de ses biens immobiliers à l'abri d'une mainmise de ses créanciers, les trompant par là-même sur la substance de son patrimoine. Il a perpétué cet état de fait en investissant, deux ans plus tard, ces CHF 700'000.- dont la gestion avait selon ses dires généré des bénéfices, dans l'acquisition d'une participation dans la "start-up" L______, au I______.</w:t>
      </w:r>
    </w:p>
    <w:p>
      <w:r>
        <w:t>La théorie du remboursement d'un éventuel prêt accordé par G______ pour l'achat de cette participation n'est pas crédible pour les raisons développées ci-dessus. Toujours est-il, qu'à retenir une réelle acquisition de parts de cette société, sur la base du contrat produit, des avis de débits et des éléments portés dans ses déclarations fiscales à compter de l'année 2009, l'appelant a par cette nouvelle manœuvre empêché les intimés de profiter du bénéfice, à tout le moins à hauteur de CHF 700'000.- dont partie aurait dû être saisie par l'OP au début de l'année 2010, ou rendu celle-ci excessivement difficile, dans la mesure où il a depuis lors pris domicile au I______. Il l'a à l'évidence fait sciemment et ne se cache pas de vivre désormais des revenus découlant de son activité dans ladite société, laissant peu d'espoir aux intimés de percevoir les plus de EUR 150'000.- qui leur sont dus à chacun. En toute hypothèse, l'appelant a donc distrait des fonds devant désintéresser ses créanciers.</w:t>
      </w:r>
    </w:p>
    <w:p>
      <w:r>
        <w:t>3.1.3. A teneur de l'art. 163 CP l'auteur doit savoir qu'il se trouve dans une situation financière difficile et/ou avoir envisagé et accepté la possibilité que sa situation financière puisse se dégrader jusqu'à l'introduction de la poursuite.</w:t>
      </w:r>
    </w:p>
    <w:p>
      <w:r>
        <w:t>En l'occurrence, l'appelant savait, depuis 2003, au vu des actions intentées à Genève, que les intimés tendaient à obtenir la réparation du préjudice pécuniaire qu'ils estimaient avoir subi, par sa faute, consécutivement à des placements malheureux. Il ne pouvait pas non plus ignorer que les intimés avaient ensuite initié une action à son encontre, en D______, laquelle devait aboutir au printemps 2007, et qu'il était dès lors susceptible d'être condamné au paiement d'un dédommagement. Il ne pouvait pas davantage ignorer que les intimés requerraient l'exequatur, en Suisse, du jugement rendu s'il leur était favorable, comme ils avaient essayé de le faire sans succès en 2002. Or c'est justement à cette même époque que l'appelant a vendu lesdits biens et a transféré, en quelques jours seulement, l'essentiel du bénéfice y relatif à G______, sans raison apparente, hormis celle de soustraire ces fonds à l'exécution forcée, à tout le moins le montant de CHF 700'000.- dans la situation qui lui est le plus favorable.</w:t>
      </w:r>
    </w:p>
    <w:p>
      <w:r>
        <w:t>3.1.4. L'appelant a aussi sciemment menti, en violation de l'obligation figurant à l'art. 91 LP et allant au-delà du comportement réprimé par l'art. 323 ch. 2 CP, de par le</w:t>
      </w:r>
    </w:p>
    <w:p>
      <w:r>
        <w:t>- 26/33 - P/6651/2010 stratagème mis en place, en indiquant à l'OP qu'il n'avait pas d'autre avoir que son salaire, en s'abstenant donc d'évoquer le substantiel profit encaissé le 26 mars 2007 - bien que et même si dûment déclaré au fisc -, démontrant s'il en était encore besoin qu'il s'agissait-là d'un élément de son patrimoine, et ce qu'il en était advenu. Il ne saurait tirer quelconque argument d'une annotation "Document société", apposée au bas du procès-verbal des opérations du 4 février 2010. Dès lors que cette mention se rapporte à l'astérisque figurant plus haut dans la rubrique "Employeur et revenus", en regard de la société H______, l'employeur de l'appelant, il ne fait aucun doute qu'elle se rapporte à ladite société et nullement à une possible participation dans une société au I______.</w:t>
      </w:r>
    </w:p>
    <w:p>
      <w:r>
        <w:t>3.1.5. Ainsi, l'appelant s'est bien rendu coupable d'infraction à l'art. 163 CP, sous les formes, alternatives et exemplatives de la distraction et de la dissimulation, de sorte que sa condamnation sera confirmée.</w:t>
      </w:r>
    </w:p>
    <w:p>
      <w:r>
        <w:t>3.1.6. Enfin, il ne saurait se prévaloir d'une violation du principe de l'interdiction de la reformatio in pejus sous l'angle d'une comparaison des motivations des décisions de première instance et d'appel dans la mesure où cela n'a aucune influence sur le dispositif qui reste identique s'agissant de le reconnaître coupable de ladite infraction, le présent arrêt, pris dans son ensemble, n'aggravant pas son sort s'agissant de la question de sa culpabilité.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w:t>
      </w:r>
    </w:p>
    <w:p>
      <w:r>
        <w:t>- 27/33 - P/6651/2010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Le droit de se taire 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4.2.1. Les nouvelles dispositions sur le droit des sanctions sont entrées en vigueur le 1er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4.2.2. L'ancien droit est donc applicable.</w:t>
      </w:r>
    </w:p>
    <w:p>
      <w:r>
        <w:t>4.2.3.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4.2.4.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w:t>
      </w:r>
    </w:p>
    <w:p>
      <w:r>
        <w:t>- 28/33 - P/6651/2010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4.2.5.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4.2.6.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4.3</w:t>
      </w:r>
    </w:p>
    <w:p>
      <w:r>
        <w:t>En l'espèce, l'appelant n'attaque pas en tant que telle la peine prononcée en première instance, mais en demande sa réduction, de même que de la durée du délai d'épreuve. La peine prononcée par le premier juge tient adéquatement compte de la faute de l'appelant, qu'il a qualifiée à juste titre de non négligeable face au stratagème mis en place sur plusieurs années aux fins de ne pas conserver les fonds dont il disposait des suites de la vente de ses biens immobiliers à E______, au moins à hauteur des créances réclamées par les parties plaignantes. Il a fait fi de décisions judiciaires dont il avait connaissance et a organisé son insolvabilité. Il a agi par pur appât du gain, soit des mobiles purement égoïstes.</w:t>
      </w:r>
    </w:p>
    <w:p>
      <w:r>
        <w:t>- 29/33 - P/6651/2010 Sa collaboration est à l'image du processus mis en place pour ne pas désintéresser les créanciers à hauteur de ce à quoi il a été définitivement condamné à leur verser. Il a en effet durant la procédure varié dans ses déclarations et n'a produit que tardivement, et de manière non complète, les pièces pertinentes pour l'issue de la procédure. Il demeure dans le déni du caractère pénal de ses actes de sorte que sa prise de conscience est inexistante. Il a à juste titre été mis au bénéfice de la circonstance atténuante du temps écoulé (art. 48 let. e CP) à l'exclusion de toute autre, au demeurant non plaidée. Il a également été tenu compte par le premier juge d'une violation du principe de célérité. Le sursis lui est acquis (art. 391 al. 2 CPP). La durée du délai d'épreuve, fixée à trois ans, est de nature à le détourner de la commission de nouvelles infractions, en particulier dans la mesure où il demeure dans le déni complet du caractère illicite de ses agissements. La peine de 120 jours-amende tient adéquatement compte de tous ces éléments et sera confirmée. Le montant du jour-amende de CHF 70.- s'avère conforme à la situation personnelle et financière de l'appelant, notamment de sa fortune. Le jugement de première instance sera partant confirmé également sur ces points.</w:t>
      </w:r>
    </w:p>
    <w:p>
      <w:r>
        <w:rPr>
          <w:b/>
        </w:rPr>
        <w:t>E. 6</w:t>
      </w:r>
    </w:p>
    <w:p>
      <w:r>
        <w:t>L'appelant, qui succombe, supportera les frais de la procédure envers l'État, comprenant un émolument de CHF 3'000.- (art. 428 CPP).</w:t>
      </w:r>
    </w:p>
    <w:p>
      <w:r>
        <w:rPr>
          <w:b/>
        </w:rPr>
        <w:t>E. 7</w:t>
      </w:r>
    </w:p>
    <w:p>
      <w:r>
        <w:t>Vu l'issue de la procédure, il sera débouté de ses prétentions en indemnisation (art. 429 al. 1 CPP a contrario).</w:t>
      </w:r>
    </w:p>
    <w:p>
      <w:r>
        <w:rPr>
          <w:b/>
        </w:rPr>
        <w:t>E. 8.1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des art. 436 al. 1 CPP). La partie plaignante a obtenu gain de cause au sens de cette disposition lorsque le prévenu a été condamné et/ou si les prétentions civiles ont été admises (M. NIGGLI / M. HEER / H. WIPRÄCHTIGER, Strafprozessordnung – Jugendstrafprozess-</w:t>
      </w:r>
    </w:p>
    <w:p>
      <w:r>
        <w:t>- 30/33 - P/6651/2010 ordnung, Basler Kommentar StPO/JStPO, 2e éd., Bâle 2014, n. 10 ad art. 433 CPP ; N. SCHMID, Schweizerische Strafprozessordnung : Praxiskommentar, 2e éd. Zurich 2013, n° 6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w:t>
      </w:r>
    </w:p>
    <w:p>
      <w:r>
        <w:rPr>
          <w:b/>
        </w:rPr>
        <w:t>E. 8.2</w:t>
      </w:r>
    </w:p>
    <w:p>
      <w:r>
        <w:t>En l'espèce, les parties plaignantes intimées obtiennent gain de cause, si bien que le principe de l'indemnisation de leurs dépenses nécessaires pour la procédure de première instance et d'appel leur est acquis. 8.3.1. Le Tribunal de police leur a alloué CHF 22'472.75 à titre de participation à leurs honoraires de conseil, sur les CHF 24'005.50 requis en sus de ceux afférents à l'audience de jugement. L'appelant ne conteste que le principe de cette indemnisation. Compte tenu de la durée de la procédure et de l'activité nécessitée pour parer aux dénégations constantes de l'appelant, le montant alloué en première instance apparaît adéquat et sera confirmé, étant relevé que les tarifs horaires appliqués de CHF 280.- à CHF 450.- sont conformes à la pratique genevoise.</w:t>
      </w:r>
    </w:p>
    <w:p>
      <w:r>
        <w:t>- 31/33 - P/6651/2010 8.3.2. L'activité déployée en appel, correspondant à une trentaine d'heures d'activité au tarif horaire de CHF 350.-, (hors TVA vu le domicile à l'étranger des parties plaignantes), est en adéquation avec la nature et la difficulté de l'affaire, référence étant faite à la notion de juste indemnité consacrée à l'art. 433 CPP, compte tenu des nombreux points sur lesquels les parties plaignantes ont dû répondre. Au vu de ce qui précède, l'indemnité requise de CHF 10'507.50 leur sera allouée.</w:t>
      </w:r>
    </w:p>
    <w:p>
      <w:r>
        <w:t>* * * * *</w:t>
      </w:r>
    </w:p>
    <w:p>
      <w:r>
        <w:t>- 32/33 - P/6651/2010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