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AARP/188/2017 vom 1. Juni 2017</w:t>
      </w:r>
    </w:p>
    <w:p>
      <w:r>
        <w:t>GE Cour de justice, 2017-06-01, FR</w:t>
      </w:r>
    </w:p>
    <w:p>
      <w:r>
        <w:rPr>
          <w:b/>
        </w:rPr>
        <w:t xml:space="preserve">Quelle: </w:t>
      </w:r>
      <w:r>
        <w:t>https://mcp.opencaselaw.ch/entscheid/ge_gerichte_AARP_188_2017</w:t>
      </w:r>
    </w:p>
    <w:p>
      <w:r>
        <w:t>FR: GE_GERICHTE AARP/188/2017 du 1 juin 2017</w:t>
      </w:r>
    </w:p>
    <w:p>
      <w:r>
        <w:t>IT: GE_GERICHTE AARP/188/2017 del 1 giugno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 ; les mesures qui ont été ordonnées (let. c)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Aux termes de l'art. 51 du Code pénal suisse du 21 décembre 1937 (CP ; RS 311.0), le juge impute sur la peine la détention avant jugement subie par l'auteur dans le cadre de l'affaire qui vient d'être jugée ou d'une autre procédure. Un</w:t>
      </w:r>
    </w:p>
    <w:p>
      <w:r>
        <w:t>- 9/17 - P/14779/2015 jour de détention correspond à un jour-amende ou à quatre heures de travail d'intérêt général. La détention avant jugement doit être imputée sur la peine, indépendamment du fait que celle-ci soit assortie du sursis ou non et qu'il s'agisse d'une peine pécuniaire ou privative de liberté (ATF 135 IV 126 consid. 1.3.6 p. 129), même si cette détention résulte d'une autre procédure (ATF 133 IV 150 consid. 5.1 p. 154 ss ; arrêt du Tribunal fédéral 6B_161/2009 du 7 mai 2009 consid. 3.1). Il n'est ainsi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Dans le même sens, l'art. 436 al. 4 CPP prévoit que si le prévenu, qui, après révision est acquitté ou condamné à une peine moins sévère, a subi une peine ou une mesure privative de liberté, il a droit notamment à une indemnité dans la mesure où la privation de liberté ne peut être imputée sur des sanctions prononcées à raison d'autres infractions.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 compte tenu de la restriction grave à la liberté personnelle que constitue une peine privative de liberté et, plus généralement, de l'atteinte que représente une sanction pour le prévenu (ATF 134 IV 97 consid. 4.2.2). Tel est le cas lorsque le nombre de jours de détention dépasse celui des jours-amende prononcés (arrêt 6B_558/2013 du 13 décembre 2013 consid. 1.6 in fine). Selon l'art. 110 al. 7 CP, la détention avant jugement est toute détention ordonnée au cours d'un procès pénal pour les besoins de l'instruction, pour des motifs de sûreté ou en vue de l'extradition. Une arrestation de plus de trois heures constitue une détention avant jugement qui peut donner lieu à indemnisation (arrêt du Tribunal fédéral 6B_53/2013 du 8 juillet 2013 consid. 2.2 non publié aux ATF 139 IV 243 = SJ 2014 I 161). 2.1.2. Dans un arrêt récent, le Tribunal fédéral a retenu que si la peine exécutée de manière anticipée (cf. art. 236 CPP) doit certes être déduite de la peine à prononcer (cf. ATF 133 IV 150 consid. 5.1 p. 154), il n'est cependant pas nécessaire qu'elle le soit au même titre que la détention provisoire, à savoir dans le dispositif, par</w:t>
      </w:r>
    </w:p>
    <w:p>
      <w:r>
        <w:t>- 10/17 - P/14779/2015 l'autorité de jugement. L'on doit donc comprendre de cette disposition que l'exécution anticipée de la peine n'a pas à être déduite de la sanction prononcée par le juge du fond. Il appartiendra dès lors à l'autorité d'exécution de décompter la durée de la détention subie en exécution anticipée de la peine à laquelle le prévenu a été condamné par le juge (arrêt du Tribunal fédéral 6B_623/2014 du 5 janvier 2015 consid. 5.2).</w:t>
      </w:r>
    </w:p>
    <w:p>
      <w:r>
        <w:rPr>
          <w:b/>
        </w:rPr>
        <w:t>E. 2.2</w:t>
      </w:r>
    </w:p>
    <w:p>
      <w:r>
        <w:t>En l'occurrence, le premier juge a déduit, à juste titre, sept jours de détention avant jugement effectués par l'appelant dans le cadre de la présente procédure, suite à ses interpellations des 12 novembre 2014, 31 juillet 2015, 30 janvier et 17 mars 2016 et aux jonctions des procédures ordonnées.</w:t>
      </w:r>
    </w:p>
    <w:p>
      <w:r>
        <w:t>2.3.1. Dans la mesure où l'appelant a été détenu à Champ-Dollon du 1er août au 21 décembre 2015 inclus, il y a tout lieu de considérer, conformément à la jurisprudence claire à ce propos, que ce dernier a été détenu durant 143 jours, et non pas seulement 142 jours. A teneur du casier judiciaire de l'appelant et des renseignements fournis par le SAPEM tels que figurant dans son courrier du 12 mai 2017, l'exécution sous forme de détention du total de 108 jours-amende, suite à leur conversion, correspondant aux condamnations des 7______ 2013 (P/12______/2013), soit 30 jours-amende, sous déduction d'un jour de détention préventive, 5______ 2014 (P/6______/2014), soit 30 jours-amende, sous déduction d'un jour de détention préventive, et 15______ 2014 (S 16______), soit 50 jours-amende, ne pose pas de problème.</w:t>
      </w:r>
    </w:p>
    <w:p>
      <w:r>
        <w:t>Par contre, les condamnations des 8______ (P/9______/2015) et 11______ 2015 (P/10______/2015) ne sont pas inscrites dans le casier judiciaire de l'appelant, mais dans celui de C______. Dans la mesure où le Ministère public, dans son écrou du 9 juin 2015, mentionne l'identité de C______, "pseudos : A______", il apparaît que lesdites condamnations concernaient en réalité C______, qui est d'ailleurs en train de les subir. Il doit pour le surplus être considéré comme établi que l'appelant et C______ sont deux personnes distinctes, à teneur de données comparées par la police (empreintes et photos) et de leur existence propre dans la base SYMIC. Il s'ensuit que l'appelant a effectué à tort, 35 jours de détention (143 jours – 108 jours) dans le cadre des deux procédures P/9______/2015 et P/10______/2015, lesquelles concernaient C______. 2.3.2. A titre liminaire, il sera rappelé qu'il convient de choisir la sanction qui restreint le moins sévèrement la liberté personnelle du prévenu, respectivement qui le touche le moins durement. Par ailleurs, la jurisprudence pose pour principe, qu'il faut compenser, tant que cela demeure possible, la privation de liberté à subir avec celle</w:t>
      </w:r>
    </w:p>
    <w:p>
      <w:r>
        <w:t>- 11/17 - P/14779/2015 déjà subie dans le cadre de la même procédure ou d'une autre affaire, conformément à l'art. 51 CP, dans la mesure où l'imputation prime l'indemnisation financière. En l'occurrence, bien qu'il soit ici question d'imputer des écrous subis à tort et non pas une détention avant jugement, seule hypothèse expressément prévue, semble-t-il, par l'art. 51 CP, l'imputation permettrait à l'appelant d'échapper à l'exécution d'une partie de la peine privative de liberté de deux mois, définitive et exécutoire, prononcée à son encontre dans le cadre de la présente procédure, ce qui est conforme aux principes rappelés ci-dessus. Par conséquent, les 35 jours de détention précités seront déduits de ladite peine, par application analogique de l'art. 51 CP, par la Cour de céans, soit l'autorité de jugement, laquelle est seule compétente pour procéder à l'imputation, contrairement à l'autorité d'exécution, étant précisé que le cas d'espèce n'est pas identique à celui de l'arrêt de Tribunal fédéral 6B_623/2014 du 5 janvier 2015, où il s'agissait d'imputer une période de détention avant jugement, puis sous forme d'exécution anticipée, dans une seule et même procédure. Au vu de ce qui précède, toute autre prétention que l'appelant pourrait demander à ce titre, à due concurrence, est exclue, dès lors que la jurisprudence relative à l'imputation sur la peine de la détention avant jugement vaut également en cas d'application de l'art. 429 al. 1 let. c CPP (cf. arrêts 6B_558/2013 du 13 décembre 2013 consid. 1.6 et 6B_169/2012 du 25 juin 2012 consid. 6) et que cette dernière disposition ne fonde pas un "droit indépendant" à une indemnité. Aussi, l'appel doit être partiellement admis dès lors que davantage de jours de détention seront imputés sur la peine privative de liberté de deux mois prononcée par le premier juge que les sept jours effectivement subis en relation avec la présente procédure, à savoir 42 jours au total. Le jugement de première instance sera modifié sur ce point.</w:t>
      </w:r>
    </w:p>
    <w:p>
      <w:r>
        <w:rPr>
          <w:b/>
        </w:rPr>
        <w:t>E. 4</w:t>
      </w:r>
    </w:p>
    <w:p>
      <w:r>
        <w:t>Dans la mesure où l'appelant succombe partiellement, un tiers des frais de la procédure d'appel, comprenant un émolument de CHF 1'500.-, seront mis à sa charge (art. 428 al. 1 CPP), le solde étant laissé à la charge de l'Etat.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- 12/17 - P/14779/2015</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chef d'étude CHF 200.- (let. c). En cas d'assujettissement,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w:t>
      </w:r>
    </w:p>
    <w:p>
      <w:r>
        <w:t>- 13/17 - P/14779/2015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5.2.4.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w:t>
      </w:r>
    </w:p>
    <w:p>
      <w:r>
        <w:t>5.3.1. En l'occurrence, il convient en application de ces principes de retrancher du premier état de frais de Me B______ :  30 minutes pour le poste "entretien avec le client (après réception de l'arrêt)" qui n'a pas à être indemnisé par l'instance cantonale ;  1h20 pour le poste "rédaction de la déclaration d'appel" et 20 minutes pour la "lecture du jugement du Tribunal de police", compris dans le forfait pour activité diverses.</w:t>
      </w:r>
    </w:p>
    <w:p>
      <w:r>
        <w:t>- 14/17 - P/14779/2015</w:t>
      </w:r>
    </w:p>
    <w:p>
      <w:r>
        <w:t>5.3.2. En conclusion, l'indemnité sera arrêtée à CHF 1'004.40 correspondant à 2h15 d'activité au tarif de CHF 200.-/heure (CHF 450.-) et 5h00 à celui de CHF 65.- (CHF 325.-) plus la majoration forfaitaire de 20% (CHF 155.-) et l'équivalent de la TVA au taux de 8% en CHF 74.40. * * * * *</w:t>
      </w:r>
    </w:p>
    <w:p>
      <w:r>
        <w:t>- 15/17 - P/14779/2015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