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AARP/188/2015 vom 26. März 2015</w:t>
      </w:r>
    </w:p>
    <w:p>
      <w:r>
        <w:t>GE Cour de justice, 2015-03-26, FR</w:t>
      </w:r>
    </w:p>
    <w:p>
      <w:r>
        <w:rPr>
          <w:b/>
        </w:rPr>
        <w:t xml:space="preserve">Quelle: </w:t>
      </w:r>
      <w:r>
        <w:t>https://mcp.opencaselaw.ch/entscheid/ge_gerichte_AARP_188_2015</w:t>
      </w:r>
    </w:p>
    <w:p>
      <w:r>
        <w:t>FR: GE_GERICHTE AARP/188/2015 du 26 mars 2015</w:t>
      </w:r>
    </w:p>
    <w:p>
      <w:r>
        <w:t>IT: GE_GERICHTE AARP/188/2015 del 26 marzo 2015</w:t>
      </w:r>
    </w:p>
    <w:p>
      <w:pPr>
        <w:pStyle w:val="Heading2"/>
      </w:pPr>
      <w:r>
        <w:t>Erwägungen</w:t>
      </w:r>
    </w:p>
    <w:p>
      <w:r>
        <w:rPr>
          <w:b/>
        </w:rPr>
        <w:t>E. 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w:t>
      </w:r>
    </w:p>
    <w:p>
      <w:r>
        <w:t>- 4/6 - PM/203/2015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La condition objective à l'octroi de la libération conditionnelle est réalisée depuis le 15 mars 2015. S'agissant de la condition subjective, les antécédents de l'appelant et</w:t>
      </w:r>
    </w:p>
    <w:p>
      <w:r>
        <w:t>- 5/6 - PM/203/2015 l'échec de la précédente libération conditionnelle fondent un risque de récidive concret. Il reste que ces antécédents sont essentiellement liés à des violations de la LEtr, de sorte que le risque de commission d'infractions d'une autre nature n'est pas significatif. L'appelant établit qu'il est refoulable, puisque des démarches ont déjà été accomplies par les services de police et qu'il dispose de documents de résidence au Portugal. Ses projets sont sensiblement différents de ceux en cours en 2013, de sorte que son affirmation, selon laquelle il n'entend plus vivre dans l'illégalité après avoir subi plusieurs mois de détention, est relativement probante, nonobstant des projets non documentés. Il est en tout état douteux que le seul risque de violation des règles sur le séjour des étrangers puisse faire échec à la libération conditionnelle. Dans ces circonstances, il convient de la lui octroyer, sans qu'il ne soit nécessaire de différer sa sortie, dès lors qu'il dispose des titres autorisant un déplacement au Portugal par ses propres moyens. L'appelant a été au demeurant dûment informé que toute prolongation de son séjour en Suisse lui faisait prendre le risque d'une nouvelle interpellation en situation irrégulière. Le jugement dont est appel sera revu dans cette mesure et les frais de la procédure laissés à la charge de l'État. * * * * *</w:t>
      </w:r>
    </w:p>
    <w:p>
      <w:r>
        <w:t>- 6/6 - PM/203/2015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