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AARP/186/2018 vom 12. Juni 2018</w:t>
      </w:r>
    </w:p>
    <w:p>
      <w:r>
        <w:t>GE Cour de justice, 2018-06-12, FR</w:t>
      </w:r>
    </w:p>
    <w:p>
      <w:r>
        <w:rPr>
          <w:b/>
        </w:rPr>
        <w:t xml:space="preserve">Quelle: </w:t>
      </w:r>
      <w:r>
        <w:t>https://mcp.opencaselaw.ch/entscheid/ge_gerichte_AARP_186_2018</w:t>
      </w:r>
    </w:p>
    <w:p>
      <w:r>
        <w:t>FR: GE_GERICHTE AARP/186/2018 du 12 juin 2018</w:t>
      </w:r>
    </w:p>
    <w:p>
      <w:r>
        <w:t>IT: GE_GERICHTE AARP/186/2018 del 12 giugno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Les moyens nouveaux (vrais et pseudo-nova) sont admissibles en appel autant que cette procédure n'a pas exclusivement pour objet des contraventions (art. 398 al.</w:t>
      </w:r>
    </w:p>
    <w:p>
      <w:r>
        <w:rPr>
          <w:b/>
        </w:rPr>
        <w:t>E. 2.2</w:t>
      </w:r>
    </w:p>
    <w:p>
      <w:r>
        <w:t>Lors des débats, l'appelant a sollicité l'audition de la mère de I______, à l'appui de ses conclusions en annulation de la mesure d'expulsion du territoire suisse prononcée par les premiers juges.</w:t>
      </w:r>
    </w:p>
    <w:p>
      <w:r>
        <w:t>Il apparaît toutefois que ce témoin n'a pas comparu en première instance, pour raisons de santé, exprimant aussi son refus de témoigner dans un courrier subséquent. Ceci étant, les pièces figurant au dossier (attestations de H______ du 10 janvier 2017 et du 8 juin 2018, photos tirées de Facebook et celles produites en appel), sont suffisantes pour permettre à la CPAR d'apprécier la réalité, la fréquence, la qualité et l'importance des relations entretenues par l'appelant avec son fils, de sorte qu'une appréciation anticipée des preuves conduit la Cour à la conviction que l'audition sollicitée ne serait pas de nature à influer sur le sort réservé à la mesure d'expulsion de l'appelant. Cette réquisition de preuve est donc rejetée.</w:t>
      </w:r>
    </w:p>
    <w:p>
      <w:r>
        <w:t>- 11/25 - P/16791/2017</w:t>
      </w:r>
    </w:p>
    <w:p>
      <w:r>
        <w:rPr>
          <w:b/>
        </w:rPr>
        <w:t>E. 3</w:t>
      </w:r>
    </w:p>
    <w:p>
      <w:r>
        <w:t>Le principe in dubio pro reo,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4</w:t>
      </w:r>
    </w:p>
    <w:p>
      <w:r>
        <w:t>4.2.1. L'art. 139 ch. 1 CP réprime le comportement de celui qui, pour se procurer ou procurer à un tiers un enrichissement illégitime, aura soustrait une chose mobilière appartenant à autrui dans le but de se l'approprier. 4.2.2. Selon l'art. 140 ch. 1 al. 1 CP, se rend coupable de brigandage celui qui aura commis un vol en usant de violence à l'égard d'une personne, en la menaçant d'un danger imminent pour la vie ou l'intégrité corporelle ou en la mettant hors d'état de résister. Le brigandage n'est consommé que si le vol a été commis. Il s'agit d'une forme aggravée du vol qui se caractérise par les moyens employés par l'auteur (ATF 124 IV 102 consid. 2 p. 104). Ainsi, à la différence du voleur, qui agit clandestinement, par ruse ou par surprise, l'auteur recourt à la contrainte pour soustraire la chose d'autrui. Le brigandage n'est donc pas exclusivement une infraction contre le patrimoine, mais</w:t>
      </w:r>
    </w:p>
    <w:p>
      <w:r>
        <w:t>- 12/25 - P/16791/2017 aussi contre la liberté, ce qui explique qu'elle soit plus sévèrement réprimée (ATF 133 IV 297 consid. 4.1 p. 300 ; 129 IV 61 consid. 2.1 p. 63). La violence est toute action physique immédiate sur le corps de la personne qui doit défendre la possession de la chose (ATF 133 IV 207 consid. 4.3.1 p. 211). Il s’agit de l’exercice direct de la force physique immédiate sur le corps de la victime ; elle peut consister dans le fait de la frapper, de l’entraver, de la tenir, de la ligoter ou de la pousser à terre (ATF 107 IV 107 consid. 3c p. 109). D’après les circonstances matérielles et personnelles, il suffit que la violence soit propre à briser sa résistance (J. HURTADO POZO, Droit pénal, partie spéciale, Genève 2009, n. 957 ad. art. 140 CP). Il n’en demeure pas moins qu’elle doit revêtir une certaine intensité, propre à faire céder la victime, sans qu'il soit toutefois nécessaire de la mettre hors d'état de résister (B. CORBOZ, Les infractions en droit suisse, vol. I, Berne 2010, n° 5 et n° 7 ad art. 140 CP). Concrètement, le degré d'intensité requis se mesure à l'aune de la résistance que la victime est susceptible d'opposer à l'auteur (ATF 133 IV 207 consid. 4.3.2 p. 211; M. DUPUIS / B. GELLER / G. MONNIER / L. MOREILLON / C. PIGUET / C. BETTEX / D. STOLL [éds], Code pénal, Petit commentaire, Bâle 2012, n° 10 ad art. 140 CP et les références citées). Commet un brigandage et non un vol celui qui arrache un sac à main en devant déployer une certaine force pour vaincre la résistance de la victime, car il s'agit d'une contrainte exercée pour imposer un vol. Tant que l'auteur joue sur la surprise et n'utilise la force que dans la mesure du nécessaire pour se saisir d'un objet porté par la victime, on considérera que l'auteur compte sur l'effet de surprise pour éviter toute résistance de cette dernière. L'auteur n'emploie donc pas à proprement parler la violence à l'encontre de la victime elle-même et la qualification de vol doit être retenue. En revanche, dès lors que la victime se trouve à même de réagir et d'opposer une résistance effective à l'auteur, que ce dernier doit briser pour s'emparer de la chose appartenant à la victime, il y a brigandage (ATF 133 IV 207 consid. 4.4 p. 212, 107 IV 107 consid. 3 p. 108 ss ; B. CORBOZ, op. cit., n° 4 ad art. 140 CP). Sur le plan subjectif, l’intention doit porter sur tous les éléments constitutifs, c’est-à- dire sur le vol et le moyen de contrainte utilisé, l’auteur devant au moins accepter l’idée de briser la résistance de la victime (ATF 133 IV 207 consid. 4.3.3 p. 211 s). L’auteur doit également avoir le dessein de s’approprier la chose et de se procurer ou de procurer à un tiers un enrichissement illégitime (arrêt du Tribunal fédéral 6S.109/2003 du 6 juin 2003 consid. 2.1 ; B. CORBOZ, op. cit., n° 10 et n° 11 ad art. 140 CP, p. 260 à 262).</w:t>
      </w:r>
    </w:p>
    <w:p>
      <w:r>
        <w:rPr>
          <w:b/>
        </w:rPr>
        <w:t>E. 4.3</w:t>
      </w:r>
    </w:p>
    <w:p>
      <w:r>
        <w:t>Se fondant sur les déclarations des parties plaignantes, les certificats médicaux produits et les aveux de l'appelant, il doit être tenu pour établi que, du 4 au 12 août 2017, celui-ci s'est emparé dans la rue des colliers que portaient cinq dames âgées et a revendu ces bijoux à son profit. A chaque fois, l'acte d'accusation du MP est ainsi libellé : "le prévenu a arraché brutalement les colliers, s'en emparant violemment" et causant à ses victimes, dans deux des trois cas objet de l'appel, des lésions au cou et,</w:t>
      </w:r>
    </w:p>
    <w:p>
      <w:r>
        <w:t>- 13/25 - P/16791/2017 dans le troisième, une blessure superficielle à un coude et un doigt, résultant de la chute de la victime, déséquilibrée suite à l'arrachage de son collier. Les victimes ont indiqué "n'avoir rien vu venir", avoir été surprises par les actes inattendus et très rapides de l'appelant, qui avait immédiatement pris la fuite. Elles n'ont pas eu le temps de la moindre réaction avant que l'appelant ne s'empare, brutalement, comme il l'a admis, de leurs bijoux. Cela explique sans doute que l'acte d'accusation n'expose pas que les victimes auraient au moins tenté de résister à leur agresseur, même si l'on ne pouvait guère attendre de ces personnes âgées qu'elles soient en mesure de s'opposer ni même de tenter de résister à l'appelant avec succès. Ainsi, l'appelant n'a pas à proprement parler usé de violence à l'encontre de ses victimes mais il a utilisé la force dans la mesure nécessaire à s'emparer des colliers, soit à briser leur fermoir. La plaie au torse de G______ a été causée au moment de l'arrachage du collier, mais pas dans le but de briser une résistance effective. De la même façon, il n'est pas établi que l'appelant ait provoqué la chute d'F______ pour la mettre hors d'état de résister. Enfin, les marques rouges au cou de E______ sont le résultat de la pression exercée sur le collier avant que le fermoir ne cède. Cette blessure n'a pas été causée pour passer outre une quelconque opposition. Dans les trois cas, il y a donc eu commission de vols à l'arraché au sens de l'art. 139 ch. 1 CP, à la limite du brigandage (art. 140 ch. 1 CP). L'appel sera dès lors admis sur ce point et le jugement entrepris réformé.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w:t>
      </w:r>
    </w:p>
    <w:p>
      <w:r>
        <w:t>- 14/25 - P/16791/2017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w:t>
      </w:r>
    </w:p>
    <w:p>
      <w:r>
        <w:rPr>
          <w:b/>
        </w:rPr>
        <w:t>E. 5.2</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w:t>
      </w:r>
    </w:p>
    <w:p>
      <w:r>
        <w:t>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w:t>
      </w:r>
    </w:p>
    <w:p>
      <w:r>
        <w:rPr>
          <w:b/>
        </w:rPr>
        <w:t>E. 5.3</w:t>
      </w:r>
    </w:p>
    <w:p>
      <w:r>
        <w:t>La faute de l'appelant est grave. En effet, il s'en est pris en quelques jours à cinq femmes âgées, s'emparant par surprise et brutalement de leurs bijoux, qu'il a revendus pour satisfaire, semble-t-il, son goût du jeu, se légitimant de manière indue</w:t>
      </w:r>
    </w:p>
    <w:p>
      <w:r>
        <w:t>- 15/25 - P/16791/2017 au moyen d'un passeport suédois auprès de deux commerces. Il a par ailleurs forcé la porte d'entrée du domicile de son amie, qui lui avait demandé de la laisser tranquille. Ses victimes ont été choquées et certaines d'entre elles blessées. Le nombre d'infractions commises durant une courte période témoigne d'une intense volonté délictueuse. Seule son arrestation a mis un terme à ses agissements, dont le mobile est égoïste, s'agissant de se procurer facilement de l'argent pour satisfaire des besoins personnels futiles. Il y a concours entre les infractions commises, ce qui justifie une augmentation de la peine de l'infraction la plus grave, soit le vol, dans une juste proportion (art. 49 al. 1 CP).</w:t>
      </w:r>
    </w:p>
    <w:p>
      <w:r>
        <w:t>La responsabilité pénale de l'appelant est pleine et entière et aucune des circonstances atténuantes prévues par l'art. 48 CP n'est réalisée ni plaidée en appel. En particulier, c'est avec raison que les premiers juges ont écarté l'application de celles de la détresse profonde et du profond désarroi. En tant que de besoin, la CPAR fait sienne l'argumentation figurant dans le jugement attaqué sur ces points. Si l'appelant traversait une période difficile, en raison des questions liées à son statut administratif en Suisse, rien n'explique toutefois son activité délictueuse, dans la mesure où il bénéficiait de l'hospitalité et de la générosité de son amie sur le plan financier.</w:t>
      </w:r>
    </w:p>
    <w:p>
      <w:r>
        <w:t>L'appelant a rapidement admis être l'auteur des faits reprochés. Il n'a cependant que partiellement pris conscience de leur caractère répréhensible, tentant de les justifier notamment par une addiction au jeu rendue tout au plus vraisemblable par le témoignage de son amie, mais pas établie à satisfaction. Les regrets exprimés paraissent ainsi au moins en partie de circonstance. L'appelant a des antécédents judiciaires relativement anciens en raison de délits contre la LStup et d'autres, en 2012 et 2016, qui sont spécifiques, s'agissant de vol et de recel. Le fait de s'en prendre brutalement à cinq femmes montre qu'il y a crescendo dans la délinquance.</w:t>
      </w:r>
    </w:p>
    <w:p>
      <w:r>
        <w:t>Au vu de ce qui précède, l'appelant doit être condamné à une peine privative de liberté. La quotité de celle prononcée en première instance consacrait une application correcte des critères de l'art. 47 CP. Pour tenir compte de la modification de la qualification de trois des infractions commises, cette peine sera réduite à deux ans.</w:t>
      </w:r>
    </w:p>
    <w:p>
      <w:r>
        <w:t>Les éléments exposés ci-dessus conduisent la CPAR à retenir que le pronostic d'avenir de l'appelant est très incertain, ce qui justifie qu'une partie de la peine soit exécutée. Vu la gravité de la faute commise, elle sera fixée à douze mois, le solde étant assorti du sursis partiel durant quatre ans (art. 44 al. 1 CP), une telle durée étant de nature à le dissuader de récidiver. Le jugement attaqué sera réformé sur ce point.</w:t>
      </w:r>
    </w:p>
    <w:p>
      <w:r>
        <w:t>- 16/25 - P/16791/2017</w:t>
      </w:r>
    </w:p>
    <w:p>
      <w:r>
        <w:rPr>
          <w:b/>
        </w:rPr>
        <w:t>E. 6.1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w:t>
      </w:r>
    </w:p>
    <w:p>
      <w:r>
        <w:rPr>
          <w:b/>
        </w:rPr>
        <w:t>E. 6.2</w:t>
      </w:r>
    </w:p>
    <w:p>
      <w:r>
        <w:t>Tant l'application de l'art. 66a al. 2 CP que de l'art. 66abis CP imposent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w:t>
      </w:r>
    </w:p>
    <w:p>
      <w:r>
        <w:t>- 17/25 - P/16791/2017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Les critères déterminants mis en exergue par la jurisprudence rendue sur l'art. 8 CEDH sont applicables à la pesée des intérêts des art. 66a al. 2 et 66abis CP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w:t>
      </w:r>
    </w:p>
    <w:p>
      <w:r>
        <w:rPr>
          <w:b/>
        </w:rPr>
        <w:t>E. 6.3</w:t>
      </w:r>
    </w:p>
    <w:p>
      <w:r>
        <w:t>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s. ; arrêt du Tribunal fédéral 6B_506/2017 du 14 février 2018 consid. 2.1).</w:t>
      </w:r>
    </w:p>
    <w:p>
      <w:r>
        <w:t>- 18/25 - P/16791/2017 Selon la Cour européenne des droits de l'Homme, l'art. 8 CEDH ne confère pas à l'étranger un droit d'entrer ou de résider sur le territoire d'un État. Cependant, exclure une personne d'un pays où vivent ses proches parents peut constituer une ingérence dans le droit au respect de sa vie familiale, tel que protégé par l'article 8 par. 1 CEDH (arrêts CourEDH K.M. c. Suisse du 2 juin 2015 [requête no 6009/10] § 44 ; Ukaj c. Suisse du 24 juin 2014 [requête no 32493/08] § 27 ;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 Ukaj § 29 ; Hasanbasic § 48 ; arrêt du Tribunal fédéral 6B_506/2017 du 14 février 2018 consid. 2.2). Selon la Cour européenne des droits de l'Homme,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États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 ; arrêt du Tribunal fédéral 6B_506/2017 du 14 février 2018 consid. 2.2).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 K.M. §§ 48 ss ;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 Hasanbasic § 56 ; Emre c. Suisse du 22 mai 2008 [requête no 42034/04] § 64 ; Boultif c. Suisse du 2 août 2001, Recueil de la CourEDH 2001-IX p. 137 § 47). S'agissant d'un étranger n'étant arrivé dans son pays d'accueil qu'à l'âge adulte, il convient d'examiner les éléments suivants (cf. arrêts</w:t>
      </w:r>
    </w:p>
    <w:p>
      <w:r>
        <w:t>- 19/25 - P/16791/2017 CourEDH Shala c. Suisse du 15 novembre 2012 [requête no 52873/09] § 45 ; Gezginci c. Suisse du 9 décembre 2010 [requête no 16327/05] § 61 ; Emre § 68 ; arrêt du Tribunal fédéral 6B_506/2017 du 14 février 2018 consid. 2.2) : la nature et la gravité de l'infraction commise par l'étranger, la durée de son séjour dans le pays dont il doit être expulsé, le laps de temps écoulé entre la perpétration de l'infraction et la mesure litigieuse, ainsi que la conduite de l'intéressé durant cette période ; et la solidité des liens sociaux, culturels et familiaux avec le pays hôte et avec le pays de destination.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 K.M. § 53 ; Ukaj § 36 ; arrêt du Tribunal fédéral 6B_506/2017 du 14 février 2018 consid. 2.2).</w:t>
      </w:r>
    </w:p>
    <w:p>
      <w:r>
        <w:rPr>
          <w:b/>
        </w:rPr>
        <w:t>E. 6.4</w:t>
      </w:r>
    </w:p>
    <w:p>
      <w:r>
        <w:t>Il y a lieu de procéder à la pesée des intérêts prévue par la jurisprudence. Militent en faveur du souhait de l'appelant de rester en Suisse sa présence dans ce pays depuis 17 ans, sous réserve des quelques années qu'il a passées en France avec son ex-épouse. Son mariage avec une Suissesse lui a permis d'obtenir une autorisation de séjour puis d'établissement, en cours de renouvellement. Il a travaillé en Suisse alémanique et appris le dialecte local. Il a un fils âgé de dix ans, issu en 2008 d'une autre union, avec lequel il entretient des relations personnelles, comme cela ressort des attestations et pièces figurant à la procédure, avec la précision que, selon ses propres déclarations, il ne voyait son fils qu'une fois par mois durant la période précédant son arrestation en août 2017 et n'a pas souhaité le voir durant sa détention. Il n'a pas contribué à l'entretien de cet enfant depuis plusieurs années ni exercé d'activité régulière, négligeant de renouveler son permis d'établissement, ce qui lui a valu une interdiction d'entrée en Suisse de 2014 à 2017, non exécutée.</w:t>
      </w:r>
    </w:p>
    <w:p>
      <w:r>
        <w:t>L'appelant ne semble pas avoir vécu avec la mère de I______, né en 2008, alors qu'il n'a divorcé de T______ qu'en 2012. Par la suite, il n'établit pas avoir eu une activité professionnelle. Selon ses déclarations, il a vécu dans la rue, chez des amis et</w:t>
      </w:r>
    </w:p>
    <w:p>
      <w:r>
        <w:t>- 20/25 - P/16791/2017 entretenu diverses relations intimes, notamment avec J______, de 2015 à 2017, aux crochets de laquelle il a subsisté, se faisant remettre d'importantes sommes d'argent qu'il dit avoir dilapidées au jeu. Ses condamnations de 2008 et 2012 témoignent de ce qu'il s'est livré au trafic des stupéfiants, alors qu'il avait un permis C, et celles de 2012 et 2016 font état d'infractions contre le patrimoine. Elles sont certes toutes de gravité relative. L'appelant a donc pour le moins fait preuve d'une grande instabilité. Il est par ailleurs curieux que H______ ne mentionne dans aucune de ses attestations le projet de l'appelant, exprimé pour la première fois devant les premiers juges, de se mettre en ménage avec elle. D'ailleurs, l'appelant dit vouloir aller résider chez un cousin à Genève après sa sortie de prison. Si l'appelant a en principe droit au respect de ses liens familiaux en Suisse, force est de constater qu'il ne voyait guère son fils durant la période précédant son arrestation, au cours de laquelle il disposait de l'aide de son amie, ce qui aurait dû le dissuader de commettre les infractions graves qui font l'objet de la présente procédure et montrent qu'il était prêt à tout pour se procurer de l'argent. Un tel comportement n'est pas un signe d'intégration. L'appelant a été condamné à une peine conséquente et un renvoi temporaire dans son pays ne le mettrait pas dans une situation personnelle grave, ce qu'il admet au demeurant, ce d'autant qu'il parle la langue de ce pays dans lequel vivent des membres de sa famille.</w:t>
      </w:r>
    </w:p>
    <w:p>
      <w:r>
        <w:t>Au vu de ce qui précède, l'intérêt public au renvoi de l'appelant est plus important que celui, privé, à ce qu'il reste en Suisse. L'expulsion sera donc ordonnée pour une durée de trois ans, soit le minimum prévu par la loi (art. 66abis CP). Le jugement entrepris sera réformé sur ce point.</w:t>
      </w:r>
    </w:p>
    <w:p>
      <w:r>
        <w:rPr>
          <w:b/>
        </w:rPr>
        <w:t>E. 7</w:t>
      </w:r>
    </w:p>
    <w:p>
      <w:r>
        <w:t>L'appelant, qui obtient partiellement gain de cause, supportera la moitié des frais de la procédure d'appel, (art. 428 al. 1 CPP), le solde étant laissé à la charge de l'Etat. Vu la confirmation du verdict de culpabilité de l'appelant, sa condamnation aux frais de première instance, non contestée en appel, n'a pas à être revue (art. 428 al. 3 CPP).</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- 21/25 - P/16791/2017</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w:t>
      </w:r>
    </w:p>
    <w:p>
      <w:r>
        <w:t>- 22/25 - P/16791/2017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En l'occurrence, l'indemnité sera arrêtée à CHF 3'009.65, correspondant à 12h10 d'activité au tarif de CHF 200.-/heure (CHF 2'433.35), plus CHF 100.- de déplacement à l'audience d'appel, la majoration forfaitaire de 10% pour activités diverses (CHF 253.35) et l'équivalent de la TVA au taux de 8% (CHF 222.95), selon la pratique transitoire du pouvoir judiciaire. * * * * *</w:t>
      </w:r>
    </w:p>
    <w:p>
      <w:r>
        <w:t>- 23/25 - P/16791/2017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