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AARP/185/2018 vom 20. Juni 2018</w:t>
      </w:r>
    </w:p>
    <w:p>
      <w:r>
        <w:t>GE Cour de justice, 2018-06-20, FR</w:t>
      </w:r>
    </w:p>
    <w:p>
      <w:r>
        <w:rPr>
          <w:b/>
        </w:rPr>
        <w:t xml:space="preserve">Quelle: </w:t>
      </w:r>
      <w:r>
        <w:t>https://mcp.opencaselaw.ch/entscheid/ge_gerichte_AARP_185_2018</w:t>
      </w:r>
    </w:p>
    <w:p>
      <w:r>
        <w:t>FR: GE_GERICHTE AARP/185/2018 du 20 juin 2018</w:t>
      </w:r>
    </w:p>
    <w:p>
      <w:r>
        <w:t>IT: GE_GERICHTE AARP/185/2018 del 20 giugno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À teneur de l'art. 90 al. 2 LCR, est considérée comme grave et sanctionnée par peine privative de liberté de trois ans au plus ou une peine pécuniaire, la violation grossière d'une règle fondamentale, qui crée un sérieux danger pour la vie d'autrui, même de manière abstraite. Le cas est objectivement grave au sens de l'art. 90 al. 2 LCR, sans égard aux circonstances concrètes, en cas de dépassement de la vitesse autorisée de 25 km/h ou plus à l'intérieur des localités (ATF 132 II 234 consid. 3.1 p. 237 s. ; 124 II 259 consid. 2b p. 261 ss ; 123 II 106 consid. 2c p. 113 et les références citées).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w:t>
      </w:r>
    </w:p>
    <w:p>
      <w:r>
        <w:rPr>
          <w:b/>
        </w:rPr>
        <w:t>E. 2.2</w:t>
      </w:r>
    </w:p>
    <w:p>
      <w:r>
        <w:t>Comme retenu à juste titre par le premier juge, la faute de l'appelant est importante. Il a commis, au guidon de son motocycle, un excès de vitesse de 38 km/h dans une localité, en début de soirée. Il a agi par pure convenance personnelle, certes sur une route sèche, dans de bonnes conditions météorologiques et alors que le trafic était fluide sur sa voie, mais au détriment de la sécurité d'autrui et sans considération pour les règles applicables. L'absence d'antécédents a un effet neutre sur la peine. Le premier juge a tenu compte des bonnes conditions de circulation et des aveux et excuses formulées d'emblée par l'appelant en prononçant une peine pécuniaire de 70 jours-amende, adaptée au degré de la faute de l'appelant et à sa situation personnelle. Ce dernier ne la remet d'ailleurs pas en cause en appel, pas plus que le montant du jour-amende à CHF 110.-. Le sursis lui est acquis. Au vu de l'importance de la faute, le prononcé d'une amende en sus s'impose à titre de prévention spéciale, nonobstant la prise de conscience affichée par le prévenu, lequel au demeurant ne pouvait que difficilement contester les faits vu les circonstances.</w:t>
      </w:r>
    </w:p>
    <w:p>
      <w:r>
        <w:t>- 7/11 - P/24057/2016 Le montant de l'amende sera toutefois ramené à CHF 1'540.-, dans le respect de la jurisprudence sus-rappelée, puisque dite amende est une sanction additionnelle à la peine principale prononcée. La peine privative de liberté de substitution sera quant à elle maintenue à dix jours. Le jugement attaqué sera réformé sur ce point. 3. 3.1.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3.2.1. Compte tenu de la confirmation du verdict de culpabilité et de la peine principale prononcée par le Tribunal de police, la peine additionnelle – l'amende – n'ayant été que réduite, il n'y a pas lieu de revoir les frais fixés par le tribunal de première instance, à l'exception de l'émolument complémentaire qui ne sera mis à charge de l'appelant que pour moitié (art. 428 al. 3 CPP).</w:t>
      </w:r>
    </w:p>
    <w:p>
      <w:r>
        <w:t>3.2.2. En appel, le prévenu obtient partiellement gain de cause, seule sa conclusion subsidiaire étant admise. Il se justifie partant de lui faire supporter la moitié des frais de la procédure, qui comprennent un émolument de CHF 1'000.- (art. 14 al. 1 let. e du Règlement fixant le tarif des frais en matière pénale [RTFMP - E 4 10.03] et 428 al. 2 let. b CPP). 4. 4.1.1.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[éds], Strafprozessordnung – Jugendstrafprozessordnung, Basler Kommentar StPO/JStPO, 2e éd., Bâle 2014, n. 10 ad art. 436). 4.1.2. La Cour de justice applique au chef d'étude un tarif horaire de CHF 450.- ou de CHF 400.- (ACPR/282/2014 du 30 mai 2014), notamment si l'avocat concerné avait lui-même calculé sa prétention à ce taux-là (ACPR/377/2013 du 13 août 2013). Elle retient un taux horaire de CHF 350.- pour les collaborateurs (AARP/65/2017 du 23 février 2017 ; AARP/125/2012 du 30 avril 2012) et de CHF 150.- pour les avocats stagiaires.</w:t>
      </w:r>
    </w:p>
    <w:p>
      <w:r>
        <w:t>- 8/11 - P/24057/2016 4.2. En l'espèce, l'appelant est reconnu coupable d'infraction à l'art. 90 al. 2 LCR, verdict non remis en cause en appel. L'amende prononcée en première instance est par contre réduite. Une indemnité lui sera partant accordée ex aequo et bono, comme demandé, pour ses frais de défense en appel, correspondant à 3 heures d'activité de collaborateur, dans la mesure où il n'est pas précisé que le conseil ayant excusé Me B______ pour la rédaction de la déclaration d'appel et du mémoire motivé serait aussi un associé, montant qui sera divisé par deux dans la proportion retenue pour la répartition des frais de la procédure d'appel. C'est ainsi un montant de CHF 565.45, correspondant à 3 h à CHF 350.- (CHF 1'050.-), réduit de moitié (CHF 525.-), plus TVA de 7.7% (CHF 40.45) qui sera alloué à l'appelant. * * * * *</w:t>
      </w:r>
    </w:p>
    <w:p>
      <w:r>
        <w:t>- 9/11 - P/24057/2016</w:t>
      </w:r>
    </w:p>
    <w:p>
      <w:r>
        <w:rPr>
          <w:b/>
        </w:rPr>
        <w:t>E. 5</w:t>
      </w:r>
    </w:p>
    <w:p>
      <w:r>
        <w:t>; ATF 134 IV 17 consid. 2.1 ; ATF 129 IV 6 consid. 6.1).</w:t>
      </w:r>
    </w:p>
    <w:p>
      <w:r>
        <w:t>2.1.3. Les nouvelles dispositions sur le droit des sanctions sont entrées en vigueur le 1er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w:t>
      </w:r>
    </w:p>
    <w:p>
      <w:r>
        <w:t>- 5/11 - P/24057/2016 La novelle n'étant pas plus favorable à l'intimé (lex mitior), l'ancien droit s'applique (art. 2 CP).</w:t>
      </w:r>
    </w:p>
    <w:p>
      <w:r>
        <w:t>2.1.4.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2.1.5. Selon l’art. 42 al. 4 aCP,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2.1.6.1.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w:t>
      </w:r>
    </w:p>
    <w:p>
      <w:r>
        <w:t>- 6/11 - P/24057/2016 2.1.6.2.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2e éd., Bâle 2007, n. 9-10, ad art.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