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AARP/185/2017 vom 2. Juni 2017</w:t>
      </w:r>
    </w:p>
    <w:p>
      <w:r>
        <w:t>GE Cour de justice, 2017-06-02, FR</w:t>
      </w:r>
    </w:p>
    <w:p>
      <w:r>
        <w:rPr>
          <w:b/>
        </w:rPr>
        <w:t xml:space="preserve">Quelle: </w:t>
      </w:r>
      <w:r>
        <w:t>https://mcp.opencaselaw.ch/entscheid/ge_gerichte_AARP_185_2017</w:t>
      </w:r>
    </w:p>
    <w:p>
      <w:r>
        <w:t>FR: GE_GERICHTE AARP/185/2017 du 2 juin 2017</w:t>
      </w:r>
    </w:p>
    <w:p>
      <w:r>
        <w:t>IT: GE_GERICHTE AARP/185/2017 del 2 giugno 2017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en particulier les mesures qui ont été ordonnées et les indemnités, ainsi que la réparation du tort moral (art. 399 al. 4 let. c et f CPP). La Chambre limite son examen aux violations décrites dans l'acte d'appel (art. 404 al. 1 CPP), sauf en cas de décisions illégales ou inéquitables (art. 404 al. 2 CPP).</w:t>
      </w:r>
    </w:p>
    <w:p>
      <w:r>
        <w:rPr>
          <w:b/>
        </w:rPr>
        <w:t>E. 2.1</w:t>
      </w:r>
    </w:p>
    <w:p>
      <w:r>
        <w:t>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Les dispositions sur l'expulsion ne s'appliquent donc qu'aux infractions commises à partir du 1er octobre 2016.</w:t>
      </w:r>
    </w:p>
    <w:p>
      <w:r>
        <w:rPr>
          <w:b/>
        </w:rPr>
        <w:t>E. 2.2</w:t>
      </w:r>
    </w:p>
    <w:p>
      <w:r>
        <w:t>A teneur de l'art. 66abis CP, le juge peut expulser un étranger du territoire suisse pour une durée de trois à quinze ans si, pour un crime ou un délit non visé à l'art. 66a</w:t>
      </w:r>
    </w:p>
    <w:p>
      <w:r>
        <w:t>- 11/19 - P/16492/2016 CP, celui-ci a été condamné à une peine ou a fait l'objet d'une mesure au sens des art. 59 à 61 ou 64 CP. S'agissant d'une mesure prévue par la loi qui, par essence, s'ajoute à la peine proprement dite, elle fait partie intégrante de la sanction à prononcer (arrêt du Tribunal fédéral 1B_61/2017 du 29 mars 2017 destiné à la publication consid. 3.2). Il s'agit d'une Kann-Vorschrift (G. MÜNCH / F. DE WECK, Die neue Landes- verweisung in Art. 66a ff. StGB, Revue de l'avocat 2016, p. 165 ; G. FIOLKA / L. VETTERLI, Landesverweisung nach Art. 66a StGB als strafrechtliche Sanktion, cahier spécial, Plaidoyer 5/2016, p. 86). Le juge est donc libre, sans autre justification, de renoncer à l'expulsion facultative (M. BUSSLINGER / P. UEBERSAX, Härtefallklausel und migrationsrechtliche Auswirkungen der Landesverweisung, cahier spécial, Plaidoyer 5/2016, p. 98). En toute hypothèse, le juge ne peut pas prononcer totalement librement une telle expulsion lorsque celle-ci induirait un cas de rigueur aux termes de l'art. 66a al. 2 CP. Il doit alors en examiner d'office successivement les deux conditions cumulatives : un cas de rigueur doit mettre l'étranger dans une situation personnelle grave et l'intérêt public doit être de peu d'importance (M. BUSSLINGER / P. UEBERSAX, op. cit., p. 96 ss). Pour fonder un cas de rigueur, il est nécessaire que la somme de toutes les difficultés induites par une expulsion affectent si durement l'intéressé que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(M. BUSSLINGER / P. UEBERSAX, op. cit., p. 101 ; G. FIOLKA / L. VETTERLI, op. cit., p. 87), mais aussi à la prise en considération des éléments de la culpabilité ou de l'acte (G. FIOLKA / L. VETTERLI, op. cit., p. 87). Par suite, tant l'application de l'art. 66a al. 2 CP que de l'art. 66abis CP imposent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w:t>
      </w:r>
    </w:p>
    <w:p>
      <w:r>
        <w:t>- 12/19 - P/16492/2016 cit., p. 84). A cette fin, il considérera pour commencer la quotité de la peine : plus lourde sera celle-ci et plus grand sera l'intérêt public à expulser l'étranger (M. BUSSLINGER / P. UEBERSAX, op. cit.,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p. 103). Quoiqu'il en soit, l'intérêt privé de l'intéressé à rester en Suisse devra s'analyser sans perdre de vue que les dispositions de la CEDH restent contraignantes (ATF 139 I 16 consid. 4.2. et 5 ss ; G. MÜNCH / F. DE WECK, op. cit., p. 166 ; M. BUSSLINGER / P. UEBERSAX, op. cit., p. 97 ; K. KÜMIN, op. cit., p. 14), en particulier les art. 3 et 8 CEDH. La jurisprudence de la CourEHD ne reconnaît que restrictivement une violation de l'art. 3 CEDH en cas de défaut de traitement médical approprié dans le pays d'origine. Il est en effet nécessaire de se trouver face à des "considérations humanitaires impérieuses". Ainsi, la décision d'expulser un étranger qui souffre d'une maladie mentale grave dans un pays où les possibilités de traitement sont moindres par rapport à celles disponibles dans l'Etat contractant peut soulever une question au titre de l'art. 3 CEDH seulement dans un cas exceptionnel, et non simplement du fait que la situation d'une personne dans son pays d'origine serait moins favorable que celle dont elle jouit dans le pays d'accueil (CourEDH D. c. Royaume-Uni du 2 mai 1997, § 54 ; CourEDH Emre c. Suisse du 22 mai 2008, § 89 ss ; CourEDH Tatar c. Suisse du 14 avril 2015, § 43). Les critères déterminants mis en exergue par la jurisprudence rendue sur l'art. 8 CEDH sont applicables à la pesée des intérêts des art. 66a al. 2 et 66abis CP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p. 166). Les antécédents judiciaires antérieurs au 1er octobre 2016 sont aussi à prendre en considération, y compris les antécédents de droit pénal des mineurs.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p. 102). D'ordinaire, il faut que la resocialisation dans le pays d'origine paraisse en pratique</w:t>
      </w:r>
    </w:p>
    <w:p>
      <w:r>
        <w:t>- 13/19 - P/16492/2016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Par conséquent, la prise en considération de l'état de santé de l'intéressé se justifie. La doctrine estime ainsi que l'art. 66a al. 2 CP peut être réalisé lorsque celui- ci souffre d'une maladie nécessitant des soins médicaux. Il faut alors analyser comment son état de santé risque de se péjorer et quelles prestations médicales devront être fournies, ainsi que clarifier si ces prestations ne pourront en aucun cas être fournies dans l'Etat d'origine et quels inconvénients pourraient en découler. Si des possibilités suffisantes de soins ne peuvent pas être établies, il doit être supposé qu'elles n'existent pas (G. FIOLKA / L. VETTERLI, op. cit., p. 85). En définitive, la situation personnelle de l'intéressé doit être examinée de façon concrète. Il est donc envisageable de renoncer à une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(G. FIOLKA / L. VETTERLI, op. cit., p. 87). A pondération égale, l'intérêt privé prime sur l'intérêt public (M. BUSSLINGER / P. UEBERSAX, op. cit., p. 102).</w:t>
      </w:r>
    </w:p>
    <w:p>
      <w:r>
        <w:rPr>
          <w:b/>
        </w:rPr>
        <w:t>E. 2.3</w:t>
      </w:r>
    </w:p>
    <w:p>
      <w:r>
        <w:t>En l'espèce, il est certes indéniable que l'intimé a peu d'attaches en Suisse. Sans enfant, célibataire et avec une famille restée en Côte d'Ivoire, il ne s'est pas véritablement intégré depuis son arrivée en 2008. Toutefois, cette situation est en grande partie due à son état de santé. Depuis 2004, l'intimé présente une symptomatologie psychiatrique, laquelle se manifestait déjà par des hallucinations auditives, des idées délirantes à thème de persécution, un émoussement affectif, un retrait social, une négligence de soi et de son environnement, une faible capacité d'autonomie, ainsi que des difficultés cognitives en lien avec ce trouble. En 2010, les services psychiatriques des HUG l'ont pris en charge en raison de ces symptômes. Plusieurs passages aux urgences psychiatriques et seize hospitalisations s'en sont suivis. Dans son rapport du 9 octobre 2013, le docteur H______ explique qu'un diagnostic de schizophrénie paranoïde (F20.0) a pu être posé et un suivi ambulatoire progressivement être mis en place au CAPPI Servette, à raison d'une consultation et d'un traitement injectable neuroleptique (Xeplion ; 150 mg) une fois par mois, doublé d'un suivi infirmier toutes les deux semaines. Pendant l'hospitalisation de l'intimé au cours de sa détention, ses docteurs ont posé, comme diagnostic principal, une psychose non organique sans précision (F29) et, comme diagnostic secondaire, des troubles mentaux et de comportement</w:t>
      </w:r>
    </w:p>
    <w:p>
      <w:r>
        <w:t>- 14/19 - P/16492/2016 liés à l'utilisation de dérivés du cannabis, ainsi qu'un syndrome de dépendance (F12.2). Ils ont néanmoins confirmé que l'intimé souffrait de schizophrénie paranoïde. En date du 23 décembre 2016, l'intimé bénéficiait toujours du même suivi médical en raison de son trouble psychotique, lequel serait lié à sa consommation de toxiques. Au regard de ce tableau, il est particulièrement malheureux de soutenir que l'état de santé serait invoqué de façon opportuniste. Les possibilités de traitement dans le pays d'origine de l'intimé, la Côte d'Ivoire, sont inconnues, mais vraisemblablement inexistantes aux dires du docteur H______. Ce dernier a ajouté que le trouble de l'intimé nécessite un encadrement médico-social important qui requiert des moyens financiers, ainsi qu'une capacité d'autonomie suffisants, ce dont A______ ne disposerait pas en Côte d'Ivoire. Sans suivi médical adapté, le pronostic est défavorable, voire très sombre, avec un risque de mise en danger de la santé et de la situation sociale de l'intimé. Si ce contexte n'emporterait pas application de l'art. 3 CEDH, il pèse néanmoins dans l'appréciation des critères de l'art. 8 CEDH. En conséquence, malgré son manque d'enracinement en Suisse, l'intimé se trouve dans une situation personnelle grave en raison de son état de santé, laissant présager une réintégration dans son pays d'origine en pratique très difficile, voire impossible. La clause de rigueur, prévue à l'art. 66a al. 2 CP, est donc réalisée. Par suite, il convient de s'assurer que l'intérêt public à l'expulsion est de peu d'importance en comparaison à l'intérêt privé de l'intimé à rester en Suisse. La CPAR constate que le Tribunal de police a infligé à l'intimé une courte peine privative de liberté, à savoir quatre mois sous déduction de 92 jours de détention avant jugement, ainsi qu'une peine pécuniaire de 20 jours-amende et une amende de CHF 200.-. Cette condamnation couvre autant l'empêchement d'accomplir un acte officiel que les violations d'interdiction de pénétrer dans une région déterminée et les infractions à la LStup, dont celles du ___ octobre 2016. Seules ces dernières sont topiques pour décider de l'expulsion facultative et, dès lors, une part seulement de la peine susmentionnée y afférente. Dans le même ordre d'idée, l'intimé n'a été interpellé qu'à une seule reprise après le 1er octobre 2016, à savoir pour la vente de 2,6 gr. de marijuana pour CHF 40.- et la détention de 1,1 gr. de marijuana destinés – en tout cas en partie – à la vente, ainsi que pour s'être trouvé ______ malgré une interdiction de pénétrer dans cette zone. Aux nombres de ses antécédents, seuls des délits mineurs et des contraventions sont à déplorer, dont une majorité portant sur du petit trafic de marijuana. L'intimé n'a</w:t>
      </w:r>
    </w:p>
    <w:p>
      <w:r>
        <w:t>- 15/19 - P/16492/2016 donc été condamné en raison d'aucune infraction grave et n'a pas mis en danger des biens juridiques essentiels. Ainsi, la faible quotité de la peine et le type d'infractions commises ne militent pas en faveur d'un intérêt public important à protéger au détriment de la santé de l'intimé. A l'inverse, sa prise en charge médicale adaptée est susceptible de réduire le risque de récidive. Du reste, depuis sa sortie de prison, les services sociaux ont été alertés, selon les dires de son conseil, et son suivi semble être plus adapté aujourd'hui, ce qui permet d'escompter un comportement plus respectueux de la loi. La CPAR considère en conséquence que l'intimé se trouve dans un cas de rigueur et que la pesée des intérêts lui est favorable. L'appel du MP sera ainsi rejeté.</w:t>
      </w:r>
    </w:p>
    <w:p>
      <w:r>
        <w:rPr>
          <w:b/>
        </w:rPr>
        <w:t>E. 3.1</w:t>
      </w:r>
    </w:p>
    <w:p>
      <w:r>
        <w:t>En vertu de l'art. 436 al. 1 CPP, les prétentions en indemnité dans les procédures de recours sont régies par les art. 429 à 434 CPP. En cas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(art. 431 al. 2 CPP). Il y a détention excessive ("Überhaft") lorsque la détention pour des motifs de sûreté a été ordonnée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 ci qui est injustifiée. La détention ne sera qualifiée d'excessive qu'après le prononcé du jugement (ATF 141 IV 236 consid. 3.2 p. 238 ; arrêt du Tribunal fédéral 6B_343/2015 du 2 février 2016 consid. 1.2.4). Conformément à l'art. 51 CP, l'art. 431 al. 2 CPP pose la règle que la détention excessive est d'abord imputée sur une autre sanction et ne peut donner lieu à une indemnisation que si aucune imputation n'est possible. L'imputation de la détention intervient, en premier lieu, sur les peines privatives de liberté et, en second lieu, sur les autres peines comme la peine pécuniaire, le travail d'intérêt général et l'amende. Pour mémoire, un jour-amende correspond à un jour de peine privative de liberté, selon l'art. 36 al. 1 CP. La compensation sous la forme de l'indemnisation est subsidiaire. L'intéressé n'a aucun droit de choisir entre l'indemnisation ou l'imputation (ATF 141 IV 236 consid. 3.3 ; arrêts du Tribunal fédéral 6B_343/2015</w:t>
      </w:r>
    </w:p>
    <w:p>
      <w:r>
        <w:t>- 16/19 - P/16492/2016 du 2 février 2016 consid. 1.2.4 ; 6B_558/2013 du 13 décembre 2013 consid. 1.5 ; 6B_169/2012 du 25 juin 2012 consid. 6 ; 1B_179/2011 du 17 juin 2011 consid. 4.2).</w:t>
      </w:r>
    </w:p>
    <w:p>
      <w:r>
        <w:rPr>
          <w:b/>
        </w:rPr>
        <w:t>E. 3.2</w:t>
      </w:r>
    </w:p>
    <w:p>
      <w:r>
        <w:t>En l'espèce, l'intimé a certes été condamné à une courte peine privative de liberté de quatre mois, mais également à une peine pécuniaire de 20 jours-amende, ainsi qu'à une amende de CHF 200.-, pour laquelle une peine privative de liberté de substitution de deux jours a été prononcée. Ainsi, un solde de peine non exécuté de 22 jours demeure, duquel il convient d'imputer les six jours de détention pour des motifs de sûreté subis du 2 au 7 février 2017. L'intimé sera dès lors débouté de ses prétentions en indemnisation.</w:t>
      </w:r>
    </w:p>
    <w:p>
      <w:r>
        <w:rPr>
          <w:b/>
        </w:rPr>
        <w:t>E. 4</w:t>
      </w:r>
    </w:p>
    <w:p>
      <w:r>
        <w:t>Vu l'issue de la procédure d'appel, la qualité du MP et les considérations qui précèdent, les frais y relatifs seront laissés à la charge de l'Etat (art. 428 CPP).</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65.- pour l'avocat stagiaire (let. a) et CHF 200.- pour le chef d'étude (let. c), débours de l'étude inclus (décision de la Cour des plaintes du Tribunal pénal fédéral BB.2013.127 du 4 décembre 2013 consid. 3/4.2-4.4). En cas d'assujettissement, l'équivalent de la TVA est versé en sus. 5.2.2.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w:t>
      </w:r>
    </w:p>
    <w:p>
      <w:r>
        <w:t>- 17/19 - P/16492/2016 consid. 2 et les références citées). Toutefois, si, comme à Genève, la réglementation prévoit un tarif réduit, celui-ci s'applique sans égard à l'issue du procès (ATF 139 IV 261 consid. 2). Quant au temps consacré à la procédure, il ne doit être pris en considération que dans la mesure où il apparaît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10% lorsque l'état de frais porte sur plus de 30h00 de travail décomptées depuis l'ouverture de la procédure, pour couvrir les démarches diverses, telles que la rédaction de courriers ou notes, les entretiens téléphoniques et la lecture de communications, pièces et décisions.</w:t>
      </w:r>
    </w:p>
    <w:p>
      <w:r>
        <w:rPr>
          <w:b/>
        </w:rPr>
        <w:t>E. 5.3</w:t>
      </w:r>
    </w:p>
    <w:p>
      <w:r>
        <w:t>En l'occurrence, l'état de frais de Me B______ est adéquat et conforme aux principes exposés ci-dessus. En conclusion, l'indemnité sera arrêtée à CHF 855.35, correspondant à 1h00 d'activité au tarif de CHF 200.-/heure pour un chef d'étude et à 8h00 d'activité au tarif de CHF 65.-/heure pour un avocat stagiaire (CHF 720.-), plus la majoration forfaitaire de 10% (en raison des 33h25 d'activité depuis le début de la procédure, soit CHF 72.-) et la TVA au taux de 8% (CHF 63.35). * * * * *</w:t>
      </w:r>
    </w:p>
    <w:p>
      <w:r>
        <w:t>- 18/19 - P/16492/2016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