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AARP/184/2016 vom 28. April 2016</w:t>
      </w:r>
    </w:p>
    <w:p>
      <w:r>
        <w:t>GE Cour de justice, 2016-04-28, FR</w:t>
      </w:r>
    </w:p>
    <w:p>
      <w:r>
        <w:rPr>
          <w:b/>
        </w:rPr>
        <w:t xml:space="preserve">Quelle: </w:t>
      </w:r>
      <w:r>
        <w:t>https://mcp.opencaselaw.ch/entscheid/ge_gerichte_AARP_184_2016</w:t>
      </w:r>
    </w:p>
    <w:p>
      <w:r>
        <w:t>FR: GE_GERICHTE AARP/184/2016 du 28 avril 2016</w:t>
      </w:r>
    </w:p>
    <w:p>
      <w:r>
        <w:t>IT: GE_GERICHTE AARP/184/2016 del 28 aprile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124 IV 86 consid. 2a p. 87 ss).</w:t>
      </w:r>
    </w:p>
    <w:p>
      <w:r>
        <w:t>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t>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Rien ne s'oppose à ne retenir qu'une partie des déclarations d'un témoin globalement crédible (ATF 120 Ia 31 consid. 3 p. 39 ; arrêt du Tribunal fédéral 6B_637/2012 du 21 janvier 2013 consid. 5.4).</w:t>
      </w:r>
    </w:p>
    <w:p>
      <w:r>
        <w:rPr>
          <w:b/>
        </w:rPr>
        <w:t>E. 2.2</w:t>
      </w:r>
    </w:p>
    <w:p>
      <w:r>
        <w:t>À teneur de l'art. 140 ch. 1 al. 1 CP, se rend coupable de brigandage celui qui aura commis un vol en usant de violence à l'égard d'une personne, en la menaçant d'un danger imminent pour la vie ou l'intégrité corporelle ou en la mettant hors d'état de résister.</w:t>
      </w:r>
    </w:p>
    <w:p>
      <w:r>
        <w:t>- 10/21 - P/23473/2015 Le brigandage est une forme aggravée du vol qui se caractérise par les moyens que l'auteur a employés (ATF 133 IV 207 consid. 4.2 p. 210 ; ATF 124 IV 102 consid. 2 p. 104).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Il importe peu que la victime ait été mise dans l'incapacité de se défendre ; il suffit que l'auteur ait recouru aux moyens indiqués et que le vol ait été consommé (ATF 133 IV 207 consid. 4.3.1 p. 211 ; arrêt du Tribunal fédéral 6B_356/2012 du 1er octobre 2012 consid. 1.2.1). Il convient d'établir le rapport de cause à effet entre la violence, la mise hors d'état de résister et le vol (ATF 107 IV 107 consid. 3c p. 109 s.).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Les infractions en droit suisse, vol. I, 3e éd., Berne 2010, n. 1 à 11 ad art. 140 CP). 2.3.1. L'art. 115 al. 1 let. b LEtr réprime le comportement de quiconque séjourne illégalement en Suisse, notamment après l'expiration de la durée du séjour non soumis à autorisation ou du séjour autorisé. 2.3.2. La Directive du Parlement européen et du Conseil du 16 décembre 2008 relative aux normes et procédures communes applicables dans les États membres au retour des ressortissants de pays tiers en séjour irrégulier (Directive sur le retour 2008/115/CE ; Directive sur le retour) et la jurisprudence de la Cour de justice de l'Union européenne (CJUE) y relative posent le principe selon lequel une peine privative de liberté pour séjour illégal ne peut être prononcée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La CJUE a toutefois précisé que les ressortissants de pays tiers ayant, outre le délit de séjour irrégulier, commis un ou plusieurs autres délits, pouvaient le cas échéant, être soustraits au champ d'application de la directive (arrêt du 6 décembre 2011 C-329/11 Achughbabian, pt 41).</w:t>
      </w:r>
    </w:p>
    <w:p>
      <w:r>
        <w:t>- 11/21 - P/23473/2015 Suivant la jurisprudence européenne, il y a donc lieu d'admettre que la Directive sur le retour n'est pas applicable aux ressortissants des pays tiers qui ont commis, outre le séjour irrégulier, un ou plusieurs autres délits (arrêt du Tribunal fédéral 6B_320/2013 du 29 août 2013 consid. 3.2.). 2.4.1. L'appelant conteste la crédibilité des déclarations de la partie plaignante et de E______, qui le mettent tous deux en cause. Certes, la partie plaignante était fortement alcoolisée lors des faits. Cela peut expliquer l'évolution dans sa perception de la situation, celle-ci ayant initialement pensé que l'appelant et E______ avaient agi de concert, pour ensuite déclarer qu'il était possible que ce dernier ne soit intervenu que dans un second temps, et dans une autre intention que celle de voler. En acceptant de revenir sur ses dires, après avoir entendu les explications de E______ et du gendarme ______, la partie plaignante a fait preuve de sincérité, ce qui est un élément de crédibilité. À ses yeux, il ne faisait néanmoins "aucun doute" qu'A______ l'avait agressé dans le but de lui voler son porte-monnaie. Ses déclarations sont au moins pour partie confirmées par celles de l'appelant, tous deux se rejoignant pour dire que le premier contact avait eu lieu entre eux et que l'intimé était en train de crier lorsque E______ était survenu. L'appelant admet également qu'il a eu le porte-monnaie de l'intimé en main, même s'il affirme l'avoir ramassé par terre et le lui avoir ensuite rendu. Les explications de la victime selon lesquelles l'individu qui lui a pris son porte- monnaie devait être l'appelant parce qu'il se trouvait dans son dos, contrairement à E______, arrivé par la suite, face à lui et alors qu'il criait déjà, sont en outre cohérentes avec le fait que le bien convoité se trouvait dans la poche arrière de son pantalon. Les déclarations de l'intimé, qui ont quelque peu varié, ce qu'il a lui-même admis, ont néanmoins été constantes sur le fait qu'il était intervenu pour séparer deux individus, qui semblaient se bagarrer. Il n'y a aucune raison de préférer la version de l'appelant, selon laquelle les cris de la victime s'expliqueraient par le fait qu'il n'avait pu répondre favorablement à sa demande de cocaïne. Aucun élément du dossier ne permet de penser que l'intimé serait consommateur de cette drogue alors qu'il le conteste et que ses dires sont, comme il vient d'être indiqué, globalement crédibles. Il est difficilement concevable que l'intimé aurait préféré accuser à tort d'abord deux, puis un innocent(s), plutôt que de courir le risque, au pire, d'une amende pour contravention à la LStup. Le fait qu'il soit employé d'une banque n'est pas pertinent, l'incident n'étant pas susceptible d'être</w:t>
      </w:r>
    </w:p>
    <w:p>
      <w:r>
        <w:t>- 12/21 - P/23473/2015 porté à la connaissance de son employeur, ou d'autres tiers. Par ailleurs, l'état d'ébriété de la victime n'explique pas, à lui seul, ses cris. Pour sa part, l'appelant à un intérêt évident à mentir. La précarité de sa situation lui donne un mobile et il a déjà été condamné pour vol. Force est ainsi de constater qu'il y a un faisceau d'indices permettant de retenir que l'appelant a bien soustrait, le 9 décembre 2015, le porte-monnaie de la partie plaignante, dans l'intention de se l'approprier et de se procurer un enrichissement illégitime. À juste titre, celui-là ne conteste pas la réalisation de l'élément constitutif de contrainte, l'intimé ayant été saisi, maintenu et poussé au sol alors qu'il tentait de protéger son bien, après avoir senti la manœuvre visant à le retirer de la poche arrière de son pantalon, ce qui lui a causé un hématome sur la hanche droite. Le verdict de culpabilité du chef de brigandage simple doit ainsi être confirmé. 2.4.2. La violation de l'art. 115 al. 1 let. b LEtr est établie et les faits ne sont pas contestés, l'appelant se contentant de s'en rapporter à justice quant à leur appréciation. La Directive sur le retour ne trouve pas application, au vu de la condamnation, confirmée ce jour, pour une infraction contre le patrimoine et l'intégrité corporelle. Le verdict de culpabilité rendu en première instance doit donc être confirmé sur ce point également.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- 13/21 - P/23473/2015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3.1.3. D'après l'art. 49 al. 1 CP, si, en raison d'un ou de plusieurs actes, l'auteur remplit les conditions de plusieurs peines de même genre, le juge le condamne à la peine de l'infraction la plus grave et l'augmente dans une juste proportion. 3.1.4.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 Lorsque l'hypothèse visée par l'art. 42 al. 2 CP est réalisée, un sursis partiel au sens de l'art. 43 CP est exclu (arrêt du Tribunal fédéral 6B_352/2014 précité).</w:t>
      </w:r>
    </w:p>
    <w:p>
      <w:r>
        <w:t>- 14/21 - P/23473/2015 3.1.5. Si, durant le délai d'épreuve, le condamné commet un crime ou un délit et qu'il y a dès lors lieu de prévoir qu'il commettra de nouvelles infractions, le juge révoque le sursis ou le sursis partiel (art. 46 al. 1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1er mai 2014 consid. 2.1). Par analogie avec l'art. 42 al. 1 et 2 CP, le juge se fonde sur une appréciation globale des circonstances du cas d'espèce pour estimer le risque de récidive (ATF 134 IV 140 consid. 4.4 p. 143 ; arrêt du Tribunal fédéral 6B_1165/2013 précité).</w:t>
      </w:r>
    </w:p>
    <w:p>
      <w:r>
        <w:t>3.2.1. Celui qui commet un brigandage sera puni d'une peine privative de liberté de dix ans au plus ou d'une peine pécuniaire de 180 jours-amende au moins. L'art. 115 al. 1 let. b LEtr prévoit une peine privative de liberté d'un an au plus ou d'une peine pécuniaire.</w:t>
      </w:r>
    </w:p>
    <w:p>
      <w:r>
        <w:t>3.2.2. En l'espèce, la peine infligée par le premier juge est adéquate. Certes, les faits au préjudice de la partie plaignante se situent à la limite inférieure de la palette des agissements susceptibles de tomber sous la qualification juridique de brigandage simple. Il n'en demeure pas moins que le plancher légal de la peine est de six mois et qu'il y a concours d'infraction avec la violation de la LEtr. La faute de l'appelant est encore augmentée par le fait que ce dernier a agi quelques semaines seulement après avoir été libéré, s'étant vu octroyer un sursis partiel notamment au motif que son retour annoncé pour la Guinée devait permettre d'écarter la crainte d'une récidive. Les explications données au sujet de ses vaines tentatives de quitter la Suisse pour Paris ne sont pas convaincantes, sans préjudice du fait qu'elle constituent l'aveu implicite qu'il comptait y demeurer et qu'il n'a donc pas réellement tenté d'obtenir de l'aide pour être rapatrié en Guinée, alors qu'il s'agit de la seule issue raisonnable. Le mobile, en ce qui concerne le brigandage, est égoïste, l'appelant s'en étant pris au patrimoine de la victime ; il a de surcroit agi avec lâcheté dans la mesure où il a profité de sa vulnérabilité, due à son ivresse. Il n'y a aucune prise de conscience et la collaboration à la procédure doit être qualifiée de mauvaise, l'appelant ayant opté pour une tactique de défense détestable, consistant à s'en prendre à la victime.</w:t>
      </w:r>
    </w:p>
    <w:p>
      <w:r>
        <w:t>- 15/21 - P/23473/2015 Il est vrai que l'appelant ne dispose que d'un faible niveau d'éducation, mais cela ne l'exonère pas du devoir de respecter les interdits de base, tel celui de voler. La précarité de sa situation n'est pas non plus un élément justificatif, celle-ci découlant de son entêtement à demeurer en Suisse alors qu'il admet être conscient de ce qu'il n'y a aucun espoir qu'il puisse régulariser son statut. Le jugement de première instance sera partant confirmé en ce qu'il prononce une peine privative de liberté ferme de neuf mois, tout comme il le sera au sujet de la révocation du précédent sursis, le risque de réitération étant très élevé. Le pronostic est en effet clairement défavorable. L'appelant a récidivé à peine un mois après sa dernière condamnation à une peine privative de liberté assortie d'un sursis partiel et ses projets d'avenir sont inexistants. Ses antécédents sont nombreux et en partie spécifiques, l'appelant ayant été condamné à six reprises depuis 2012.</w:t>
      </w:r>
    </w:p>
    <w:p>
      <w:r>
        <w:rPr>
          <w:b/>
        </w:rPr>
        <w:t>E. 3.1</w:t>
      </w:r>
    </w:p>
    <w:p>
      <w:r>
        <w:t>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5.2.3.1. Reprenant l'activité de taxation suite à l'entrée en vigueur du CPP, la CPAR a maintenu dans son principe l'ancienne pratique selon laquelle l'activité consacrée aux</w:t>
      </w:r>
    </w:p>
    <w:p>
      <w:r>
        <w:t>- 17/21 - P/23473/2015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t>5.2.3.2. À ce titre, les communications et courriers divers sont inclus dans le forfait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 l'annonce d'appel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indemnisées séparément, dans les limites du principe de nécessité. Le temps consacré à la rédaction d'écritures inutiles ou reprenant une argumentation déjà développée, fût-ce devant une autorité précédente, ne saurait ainsi donner lieu à indemnisation ou à indemnisation supplémentaire</w:t>
      </w:r>
    </w:p>
    <w:p>
      <w:r>
        <w:t>- 18/21 - P/23473/2015 (AARP/295/2015 du 12 juillet 2015 consid. 8.1.4.1 et 8.3.1.1 ; AARP/209/2015 du 4 mai 2015 consid. 13.4).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(AARP/331/2015 du 27 juillet 2015 ; AARP/362/2015 du 16 juillet 2015 ; AARP/281/2015 du 25 juin 2015 ; AARP/272/2015 du 1er juin 2015 ; AARP/269/2015 du 9 juin 2015 ; AARP/152/2015 du 24 mars 2015 ; AARP/132/2015 du 4 mars 2015 ; AARP/455/2014 du 29 octobre 2014), contrairement au cas où un examen plus poussé s'imposait, notamment aux fins de déterminer l'opportunité d'un recours au plan cantonal.</w:t>
      </w:r>
    </w:p>
    <w:p>
      <w:r>
        <w:t>5.3.1. En l'occurrence, le temps consacré à la rédaction de l'annonce et de la déclaration d'appel, les courriers et appels téléphoniques ainsi que la lecture d'actes de procédure seront écartés comme couverts par le forfait pour l'activité diverse. Au vu de la complexité relative de l'affaire, le temps dédié à l'examen du jugement de première instance sera pris en compte à hauteur de 30 minutes. Au surplus, l'activité exercée dans le cadre de la présente procédure est en adéquation avec la nature, l'importance et la difficulté de la cause. Il convient d'ajouter une heure et trente minutes pour la durée de l'audience d'appel et la lecture du dispositif.</w:t>
      </w:r>
    </w:p>
    <w:p>
      <w:r>
        <w:t>5.3.2. En conclusion, l'indemnité de Me B______, défenseur d'office d'A______, sera arrêtée à CHF 772.20, correspondant à dix heures d'activité au tarif de CHF 65.-/heure plus la majoration forfaitaire de 10% (CHF 65.-) et l'équivalent de la TVA au taux de 8% en sus (CHF 57.20). * * * * *</w:t>
      </w:r>
    </w:p>
    <w:p>
      <w:r>
        <w:t>- 19/21 - P/23473/2015</w:t>
      </w:r>
    </w:p>
    <w:p>
      <w:r>
        <w:rPr>
          <w:b/>
        </w:rPr>
        <w:t>E. 4</w:t>
      </w:r>
    </w:p>
    <w:p>
      <w:r>
        <w:t>L'appelant, qui succombe, supportera les frais de la procédure envers l'État (art. 428 CPP).</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w:t>
      </w:r>
    </w:p>
    <w:p>
      <w:r>
        <w:t>- 16/21 - P/23473/2015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