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AARP/183/2015 vom 14. April 2015</w:t>
      </w:r>
    </w:p>
    <w:p>
      <w:r>
        <w:t>GE Cour de justice, 2015-04-14, FR</w:t>
      </w:r>
    </w:p>
    <w:p>
      <w:r>
        <w:rPr>
          <w:b/>
        </w:rPr>
        <w:t xml:space="preserve">Quelle: </w:t>
      </w:r>
      <w:r>
        <w:t>https://mcp.opencaselaw.ch/entscheid/ge_gerichte_AARP_183_2015</w:t>
      </w:r>
    </w:p>
    <w:p>
      <w:r>
        <w:t>FR: GE_GERICHTE AARP/183/2015 du 14 avril 2015</w:t>
      </w:r>
    </w:p>
    <w:p>
      <w:r>
        <w:t>IT: GE_GERICHTE AARP/183/2015 del 14 aprile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- 10/19 - P/13/2013</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implique le dessein d'appropriation (ATF 90 IV 14 consid. 4a p. 18 ss), ainsi que le bris de la possession d'autrui sur la chose, la possession se définissant comme une maîtrise de fait et la volonté de l'exercer (ATF 104 IV 72 consid. 1 p. 73).</w:t>
      </w:r>
    </w:p>
    <w:p>
      <w:r>
        <w:rPr>
          <w:b/>
        </w:rPr>
        <w:t>E. 3.2</w:t>
      </w:r>
    </w:p>
    <w:p>
      <w:r>
        <w:t>Les deux parties plaignantes, qui ne se connaissaient pas, ont d'emblée et de manière constante décrit le "manège" auquel s'était livré l'auteur du vol de leur téléphone portable à environ quinze minutes d'intervalle dans la région de la plaine de Plainpalais, respectivement de ses abords. Toutes deux, jusqu'à l'audience de jugement de première instance, ont expliqué de façon constante et convaincante la manière d'agir de cet homme qui s'était approché d'elle, les avait tenues contre lui par les hanches ou la taille avant qu'elles ne constatent la disparition de leurs téléphones respectifs. Toutes deux ont bien précisé avoir, avant ledit rapprochement physique, vérifié être en possession de leur appareil téléphonique. Le modus operandi utilisé est ainsi similaire pour les deux victimes. A l'instar d'un vol effectué par des pickpockets, par exemple dans des transports publics à l'occasion de bousculades simulées, elles n'ont pas réalisé sur le moment que leurs portables, respectivement une carte d'identité, avaient été dérobés, mais s'en sont aperçues juste après le départ de cet homme.</w:t>
      </w:r>
    </w:p>
    <w:p>
      <w:r>
        <w:t>- 11/19 - P/13/2013 S'y ajoute le fait que les deux plaignantes ont d'emblée, juste après les faits, donné une description similaire de l'auteur, à savoir un maghrébin ou nord africain, aux cheveux courts, parlant mal le français, de corpulence svelte et vêtu d'un haut rouge, à savoir une doudoune rouge foncé, vêtement que l'appelant a reconnu porter durant la soirée en question, avant toutes deux de le désigner sur photo. La retenue de B______ qui a fait état à ce moment-là d'une certitude de 80 à 90% s'explique pour les raisons qu'elle a elle-même données, à savoir qu'elle ne voulait vraiment pas se tromper et accuser quelqu'un à tort. Elle n'avait cependant aucun doute et, tout comme l'intimée C______, a près de deux ans après les faits, en audience contradictoire, formellement reconnu l'appelant comme étant son agresseur. Face à une telle identification, le fait que B______ ait décrit son agresseur dans un premier temps comme un peu plus grand qu'elle, alors qu'environ 20 cm les séparent, voire moins selon les talons que portait la partie plaignante, ne permet pas de remettre en doute ladite identification. D______, témoin, qui s'était fait importuner de manière identique avant son amie C______, a elle aussi clairement reconnu le prévenu sur planche photographique. A l'inverse, comme retenu à juste titre par le juge de première instance, le prévenu a fait des déclarations peu crédibles. Affirmant être ivre au point de n'avoir aucun souvenir des faits, il n'a pas manqué d'être très précis quant à son déplacement vers un magasin de tabac, à l'extérieur duquel il aurait prétendument attendu son amie E______, qui n'a jamais pu être identifiée, ni entendue, et quant au déroulement de sa soirée. Son taux d'alcoolémie de 1.08‰ ne pouvait par ailleurs correspondre à l'ingestion de plus d'une bouteille de vodka comme soutenu, étant encore rappelé que les parties plaignantes n'avaient pas constaté d'état d'ivresse chez le prévenu. Si l'appelant n'était pas en possession lors de son interpellation d'un autre téléphone que le sien, cet élément, certes à décharge, n'exclut pas qu'il soit l'auteur des vols déplorés. Il sera en effet rappelé qu'il s'est écoulé plusieurs heures entre le moment des faits et son interpellation, lui laissant le temps et l'opportunité de cacher ces objets, respectivement de les confier à un tiers, étant rappelé que D______, témoin, a précisé que l'homme l'ayant importunée sur la piste de danse avant de s'en prendre à son amie était accompagné d'un autre maghrébin, mesurant environ 165 cm, qui était resté à l'écart. Enfin, le fait qu'environ quinze minutes séparent les faits décrits par chacune des plaignantes n'est pas en contradiction avec ceux-ci, tant ils se sont tous déroulés dans le secteur de la plaine de Plainpalais et ses abords directs et que, comme retenu à juste titre par le juge de première instance, les faits décrits par B______ n'ont pas duré longtemps. Sur la base de ces éléments, la CPAR a acquis la conviction que l'appelant est bien l'auteur des vols des deux téléphones portables des parties plaignantes. Le jugement</w:t>
      </w:r>
    </w:p>
    <w:p>
      <w:r>
        <w:t>- 12/19 - P/13/2013 de première instance doit partant être confirmé dans la mesure où il l'a reconnu coupable de ces infractions.</w:t>
      </w:r>
    </w:p>
    <w:p>
      <w:r>
        <w:rPr>
          <w:b/>
        </w:rPr>
        <w:t>E. 4.1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vol. I, 3e éd., Berne 2010,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n. 18 ad art. 189). Sur le plan subjectif, l’infraction est intentionnelle, mais le dol éventuel suffit.</w:t>
      </w:r>
    </w:p>
    <w:p>
      <w:r>
        <w:t>- 13/19 - P/13/2013</w:t>
      </w:r>
    </w:p>
    <w:p>
      <w:r>
        <w:rPr>
          <w:b/>
        </w:rPr>
        <w:t>E. 4.2</w:t>
      </w:r>
    </w:p>
    <w:p>
      <w:r>
        <w:t>Pour les motifs retenus sous chiffre 3.2. supra, il ne fait aucun doute pour la CPAR que le prévenu est l'homme qui s'en est pris à B______. Celle-ci a décrit de manière constante et crédible, quand bien même elle avait consommé de l'alcool, la manière dont il l'avait emmenée en la tenant par l'épaule et au niveau de la hanche de manière à l'obliger à rester avec lui, et extraite de la foule en la guidant jusqu'à un parc proche d'Uni Mail, refusant de la lâcher. C'est encore de manière convaincante qu'elle a expliqué la manière dont il l'avait ensuite poussée dans le renfoncement d'une entrée d'immeuble, à l'abri des regards, plaquée contre le mur, la terrorisant de sorte qu'elle avait crié à plusieurs reprises et avait profité de cet état chez sa victime pour passer ses mains notamment sur ses hanches et ses fesses, à l'entrejambe, frottant son sexe en érection contre son corps et cherchant à glisser sa main dans son pantalon tandis qu'elle cherchait à le repousser. Il n'y a de plus pas lieu de remettre en cause la remarque du juge de première instance qui a constaté l'état de la partie plaignante qui a fondu en larmes lors de la lecture de la motivation orale et du verdict, assoyant encore si besoin était la crédibilité de cette jeune femme. A l'inverse, comme déjà développé, les dénégations du prévenu demeurent peu crédibles. Si l'appelant a d'emblée clamé que son ADN ne se trouverait pas sur la victime, ce qui était effectivement le cas, ceci ne le disculpe encore pas. C'est en effet un cas de figure qui peut se présenter, en particulier si les protagonistes restent habillés, comme en l'espèce, étant encore relevé que le profil ADN d'un homme tiers n'a pas davantage été découvert sur les vêtements portés par la victime. C'est en vain qu'il cherche à contester le caractère sexuel des baisers et caresses prodigués à la partie plaignante, pour le cas où il devait en être reconnu l'auteur. Si la partie plaignante a réussi à esquiver ses baisers, elle a subi des caresses sur les fesses, à l'entrejambe, par un auteur complètement excité, dont le sexe était en érection et qui voulait "juste faire ça", actes revêtant sans conteste le caractère sexuel décrit par la jurisprudence. De même, l'élément de contrainte est à l'évidence réalisé. La victime a été maintenue de force contre un mur, a crié, appelé au secours, cherché à s'échapper de l'emprise du prévenu, en se retournant, manifestant de la sorte clairement son désaccord. L'appelant s'est ainsi rendu l'auteur de contrainte sexuelle au sens de l'art. 189 CP, de sorte que le jugement de première instance doit être confirmé sur ce point également.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- 14/19 - P/13/2013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5.2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5.4</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w:t>
      </w:r>
    </w:p>
    <w:p>
      <w:r>
        <w:t>- 15/19 - P/13/2013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rPr>
          <w:b/>
        </w:rPr>
        <w:t>E. 5.5</w:t>
      </w:r>
    </w:p>
    <w:p>
      <w:r>
        <w:t>Sur le plan objectif, 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w:t>
      </w:r>
    </w:p>
    <w:p>
      <w:r>
        <w:t>- 16/19 - P/13/2013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5.6</w:t>
      </w:r>
    </w:p>
    <w:p>
      <w:r>
        <w:t>En l'espèce, il y lieu de retenir, à l'instar du premier juge que la faute de l'appelant est lourde. Il s'en est en particulier pris avec bassesse à la liberté sexuelle d'une jeune femme, qui, une nuit de fête, avait bu de l'alcool, ce pour satisfaire des pulsions sexuelles. Il a agi par pur égoïsme et par appât du gain s'agissant de vols, soit de vils motifs. Sa collaboration à l'enquête a été mauvaise, jusqu'à et y compris la phase d'appel, démontrant par son déni l'absence de toute prise de conscience du caractère délictueux de ses actes. Nonobstant son interpellation dans la présente procédure, et alors qu'elle était en cours à son encontre, il n'a pas hésité à s'en prendre à nouveau au patrimoine d'autrui quelques jours plus tard seulement, ce qui lui a valu six condamnations entre le 9 janvier 2013 et le 8 août 2014, dont à une peine privative de liberté de 6 mois le 5 novembre 2013. Il persistait, encore en novembre 2014, à rester en situation illégale en Suisse, ne mettant pas à exécution de prétendus projets de retour au Maroc pourtant articulés de longue date. Il y a concours d'infractions. En raison de la situation administrative de l'appelant, une peine de travail d'intérêt général ne peut être prononcée. Les peines pécuniaires auxquelles il a été condamné par le passé ont clairement démontré leur limite et n'ont pas eu l'efficacité préventive attendue.</w:t>
      </w:r>
    </w:p>
    <w:p>
      <w:r>
        <w:t>La peine privative de liberté prononcée par les premiers juges sera par conséquent confirmée, de même que sa quotité, laquelle est adéquate et conforme aux éléments figurants au dossier. Les circonstances n'étant pas particulièrement favorables et le pronostic clairement défavorable, il convient de prononcer une peine ferme.</w:t>
      </w:r>
    </w:p>
    <w:p>
      <w:r>
        <w:rPr>
          <w:b/>
        </w:rPr>
        <w:t>E. 6</w:t>
      </w:r>
    </w:p>
    <w:p>
      <w:r>
        <w:t>L'appelant, qui succombe, supportera les frais de la procédure d'appel, qui comprennent un émolument de CHF 2'000.- (art. 428 CPP).</w:t>
      </w:r>
    </w:p>
    <w:p>
      <w:r>
        <w:rPr>
          <w:b/>
        </w:rPr>
        <w:t>E. 7.1</w:t>
      </w:r>
    </w:p>
    <w:p>
      <w:r>
        <w:t>Les frais imputables à la défense d'office sont des débours (art. 422 al. 2 let. a CPP) qui constituent des frais de procédure (art. 422 al. 1 CPP) et doivent,</w:t>
      </w:r>
    </w:p>
    <w:p>
      <w:r>
        <w:t>- 17/19 - P/13/2013 conformément à l'art. 421 al. 1 CPP, être fixés par l'autorité pénale dans la décision finale au plus tard (ATF 139 IV 199 consid. 5.1).</w:t>
      </w:r>
    </w:p>
    <w:p>
      <w:r>
        <w:t>Au regard de ce qui précède, la CPAR est compétente, au sens de l'art. 135 al. 2 CPP, pour statuer sur l'activité postérieure à sa saisine, le 2 décembre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F______ a été désigné défenseur d'office de l'appelant le 8 janvier 2013.</w:t>
      </w:r>
    </w:p>
    <w:p>
      <w:r>
        <w:t>Il a déposé devant la CPAR un état de frais pour 8h15 d'activité déployée du 4 décembre 2014 au 18 février 2015, soit 0h45 d'étude du dossier, 0h30 pour la rédaction de la déclaration d'appel et 7h00 pour l'étude du dossier et la rédaction du mémoire d'appel. Le poste rédaction de la déclaration d'appel ne sera pas indemnisé dans la mesure où cette prestation entre dans le forfait "courriers", tenant en l'espèce sur une page. Les postes d'étude du dossier et de rédaction du mémoire d'appel seront réduits à 5h00 dans la mesure où la défense de l'appelant ne nécessitait pas de nouvelles recherches ou développements autres que ceux exposés précédemment. Par conséquent, l'état de frais sera admis à concurrence de 5h00 d'activité de chef d'étude, ce qui correspond à une indemnité de base de CHF 1'000.-. Il convient d'ajouter à ce montant l'indemnisation forfaitaire de 20 %, soit CHF 200.-, l'ampleur de l'activité déployée en première instance n'étant pas connue, ainsi que la TVA, soit CHF 96.-. * * * * *</w:t>
      </w:r>
    </w:p>
    <w:p>
      <w:r>
        <w:t>- 18/19 - P/13/2013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