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AARP/182/2020 vom 15. Mai 2020</w:t>
      </w:r>
    </w:p>
    <w:p>
      <w:r>
        <w:t>GE Cour de justice, 2020-05-15, FR</w:t>
      </w:r>
    </w:p>
    <w:p>
      <w:r>
        <w:rPr>
          <w:b/>
        </w:rPr>
        <w:t xml:space="preserve">Quelle: </w:t>
      </w:r>
      <w:r>
        <w:t>https://mcp.opencaselaw.ch/entscheid/ge_gerichte_AARP_182_2020</w:t>
      </w:r>
    </w:p>
    <w:p>
      <w:r>
        <w:t>FR: GE_GERICHTE AARP/182/2020 du 15 mai 2020</w:t>
      </w:r>
    </w:p>
    <w:p>
      <w:r>
        <w:t>IT: GE_GERICHTE AARP/182/2020 del 15 maggio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arrêt du Tribunal fédéral 6B_834/2018 du 5 février 2019 consid. 1.1).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w:t>
      </w:r>
    </w:p>
    <w:p>
      <w:r>
        <w:t>- 7/22 - P/6427/2018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w:t>
      </w:r>
    </w:p>
    <w:p>
      <w:r>
        <w:t>- 8/22 - P/6427/2018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2.4.1.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Message relatif à l'unification du droit de la procédure pénale du 21 décembre 2005, FF 2006 1057, p. 1163). Le Tribunal fédéral a ainsi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p. 134 s.). 2.4.2. Conformément à l’art. 208 CPP, le mandat d’amener est décerné par écrit. En cas d’urgence, il peut être décerné oralement ; il doit toutefois être confirmé par écrit. L'art. 199 CPP prévoit que, lorsqu'une mesure de contrainte est ordonnée par écrit,</w:t>
      </w:r>
    </w:p>
    <w:p>
      <w:r>
        <w:t>- 9/22 - P/6427/2018 une copie du mandat est remise contre accusé de réception à la personne directement concernée. En présence d'une mesure de contrainte ordonnée oralement, cette exigence ne s'applique toutefois pas (arrêt du Tribunal fédéral 6B_981/2016 du 24 mai 2017 consid. 4). 2.5.1. L’art. 285 CP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Quand bien même les policiers sont peut-être plus habitués que d'autres fonctionnaires à traiter avec des personnes opposantes (« renitent »), cela ne permet pas de réduire la protection pénale dont ils bénéficient par l'art. 285 CP. Pour retenir une infraction, il suffit donc que les propos tenus soient suffisamment menaçants pour qu'un fonctionnaire raisonnable (« einen besonnenen Beamten ») puisse être subjugué. Tel est notamment le cas lorsqu’un prévenu menace un policier de « le retrouver dans la rue » (arrêt du Tribunal fédéral 6B_320/2019 du 27 août 2019, consid. 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t>- 10/22 - P/6427/2018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2.5.2. 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de celle prévue à l'art. 285 CP, en ce que l'auteur ne recourt ni à la violence ni à la menace.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w:t>
      </w:r>
    </w:p>
    <w:p>
      <w:r>
        <w:t>- 11/22 - P/6427/2018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2.6.1. En l’espèce, s’agissant des faits du 15 mars 2017, l’appelant soutient que les actes de la police n’étaient pas valables, et le mandat d’amener nul de plein droit, faute de confirmation écrite. Il est à cet égard constant que le mandat oral délivré le 15 mars 2017 n’a pas fait l’objet d’une confirmation écrite. Cependant, cela ne signifie pas encore qu’il n’était pas valable, ni que l’absence d’une telle confirmation l’entache de nullité. Du point de vue de la personne concernée au moment de l’exécution de la mesure ordonnée verbalement, celle-ci implique nécessairement l’absence d’un écrit. Cette absence découle de l’art. 208 CPP, et ne constitue donc pas un motif justifiant, pour celui qui fait l’objet de la mesure de contrainte, de s’y soustraire, sauf à mettre à mal le principe légal permettant la délivrance d’un mandat oral. Par ailleurs, l’appelant – qui n’a jamais jusqu’à sa réplique contesté la validité en tant que telle du mandat – ne saurait sérieusement remettre en question l’existence du mandat verbal délivré par le MP. Il a en effet été dûment auditionné par la police après cette arrestation, conformément à l’art. 209 al. 3 CPP, puis amené au MP, comme le prévoit l’art. 219 CPP, qui a prononcé une mise en liberté assortie de mesures de substitutions, lesquelles ont été validées par le TMC. Le comportement de ces autorités successives démontre en tant que de besoin qu’elles ont considéré le comportement de la police et l’arrestation de l’appelant comme conformes au droit. Le MP, notamment, n’a pas immédiatement libéré l’appelant lorsqu’il lui a été amené, mais l’a au contraire considéré comme se trouvant en arrestation provisoire et devant, par conséquence, faire l’objet d’une décision formelle sur ce point. Il a ainsi validé implicitement le mandat, à défaut d’avoir, comme il l’aurait dû, rédigé le document.</w:t>
      </w:r>
    </w:p>
    <w:p>
      <w:r>
        <w:t>- 12/22 - P/6427/2018 Dans ces circonstances, l’exigence de confirmation écrite du mandat d’amener doit être considérée comme une prescription de forme, dont la violation n’entache pas la suite de la procédure, étant au surplus relevé que l’arrestation du prévenu n’a, en elle-même, apporté aucune preuve, sinon sa déclaration du même jour à la police dont il ne conteste à raison pas qu’elle a été recueillie valablement. Il sera néanmoins adéquatement tenu compte de cette faute procédurale du MP dans le calcul des indemnités et frais de la procédure. 2.6.2. Il est ainsi reproché à l’appelant d’avoir « lors de l'intervention de la police à son domicile, résisté à son interpellation en se débattant violemment, étant précisé que l'intervention de cinq policiers a été nécessaire afin de le maîtriser ». La seule description d’une violence au sens de l’art. 285 CP est le fait de s’être « débattu violemment ». Il ressort du rapport de police que l’usage de la force a été nécessaire pour le maitriser, mais aucun geste de l’appelant à l’égard des policiers n’est décrit. Il est d’ailleurs noté qu’aucun policier n’a été blessé. Les éléments constitutifs de l’infraction à l’art. 285 CP ne sont pas réalisés. En revanche, en cherchant à empêcher les policiers, manifestement dans l’exercice de leur fonction et au bénéfice d’un mandat d’amener, certes uniquement oral, l’appelant a réalisé l’infraction d’empêchement d’un acte officiel au sens de l’art. 286 CP. L’appelant se prévaut en vain d’une erreur sur l’illicéité de son comportement. En effet, les policiers lui ont clairement expliqué l’existence d’un mandat oral. En présence d’agents de police en uniforme, l’appelant ne saurait soutenir avoir pu considérer que ceux-ci lui mentaient sciemment. Leur intervention ne procédait à l’évidence pas d’un abus d’autorité, puisqu’ils ont agi suite à la plainte déposée par son épouse. Son refus d’obtempérer est bien plutôt imputable à sa mauvaise volonté et à son opposition, voire aux pathologies décrites dans le rapport d’expertise psychiatrique. Il ne suffit en effet pas de refuser d’obéir à un policier et de contester son droit d’intervenir pour pouvoir se prévaloir d’une erreur de droit au sens de l’art. 21 CP, à peine de miner l’efficacité du travail des forces de l’ordre. Au contraire, tout un chacun se doit de respecter les injonctions et instructions des forces de l’ordre dans l’exercice de leurs fonctions, présumés légitimes, ce qui était manifestement le cas en l’espèce. Le jugement entrepris doit donc être réformé en ce sens que l’appelant est condamné pour empêchement d’accomplir un acte officiel au sens de l’art. 286 CP en lieu et place de violence ou menace contre les autorités et les fonctionnaires s’agissant des faits du 15 mars 2017.</w:t>
      </w:r>
    </w:p>
    <w:p>
      <w:r>
        <w:rPr>
          <w:b/>
        </w:rPr>
        <w:t>E. 2.7</w:t>
      </w:r>
    </w:p>
    <w:p>
      <w:r>
        <w:t>En ce qui concerne les faits du 8 avril 2018, la situation se présente différemment. En effet, d’une part, l’acte d’accusation comporte la description détaillée des faits reprochés, consistant à la fois en des violences ayant occasionné</w:t>
      </w:r>
    </w:p>
    <w:p>
      <w:r>
        <w:t>- 13/22 - P/6427/2018 une lésion à l’un des policiers, et d’autre part, des menaces proférées contre son collègue. A raison, l’appelant ne conteste d’ailleurs pas la validité de l’acte d’accusation pour ces faits, nonobstant l’erreur de plume relative au nom du policier menacé. Il s’est d’ailleurs clairement déterminé à ce sujet, preuve qu’il a compris les faits reprochés et que l’acte d’accusation répond aux exigences de l’art. 9 CPP. Par ailleurs, les deux policiers intervenus le jour en question ont été entendus au cours de la procédure, et ont expliqué – avec des variations qui n’entachent pas leur crédibilité mais sont plutôt le reflet d’un discours spontané et non appris par cœur – l’agressivité dont l’appelant a fait preuve à leur encontre et son état d’excitation. Il résulte de leurs déclarations concordantes que l’appelant a quitté ou fait mine de quitter l’endroit où il se trouvait au moment où ils sont arrivés à sa hauteur avec leur véhicule de patrouille, qu’ils l’ont hélé et interpellé, qu’il a résisté, s’est débattu et qu’ils ont dû recourir à la force pour pouvoir le maîtriser, au point qu’ils sont tous trois tombés à terre, ce qui a causé la lésion présentée par C______. Il ne fait ainsi aucun doute que cette lésion est la conséquence de l’interpellation et qu’elle est survenue au cours de celle-ci. Or, l’appelant, en tentant de se soustraire aux forces de l’ordre puis en se débattant violemment contre des policiers qui cherchaient à l’interpeller, a pris et accepté le risque que l’un d’eux se blesse par sa faute. Il a ainsi, à tout le moins par dol éventuel, occasionné la lésion du policier, réalisant ce faisant la première alternative de l’art. 285 CP. Il n’en va pas différemment des propos tenus à l’encontre du second plaignant, dont l’appelant admet la teneur mais conteste le caractère menaçant. Contrairement à ce qu’il soutient, menacer un policier de le retrouver sur un ring pour le combattre en utilisant des techniques d’arts martiaux constitue bel et bien une menace, dans la mesure où un tel affrontement n’est pas une pratique ordinaire pour un fonctionnaire raisonnable, fût-il policier. Ceci est d’autant plus vrai lorsque de tels propos sont proférés dans le contexte d’une altercation violente et ne peuvent manifestement être compris, quoi qu’en dise l’appelant, que comme une menace de s’en prendre à l’intégrité physique de son interlocuteur. L’appelant s’est donc bel et bien rendu coupable de violence ou menace contre les autorités et les fonctionnaires le 8 avril 2018 ; son appel sur ce point doit être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- 14/22 - P/6427/2018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t>- 15/22 - P/6427/2018</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(arrêts du Tribunal fédéral 6B_715 du 21 mars 2016, consid. 2.5 ; 6B_663/2009 du 19 octobre 2009 consid. 1.2). La réintégration ne peut plus être ordonnée lorsque trois ans se sont écoulés depuis l’expiration du délai d’épreuve (art. 89 al. 3 CP). Le juge saisi de la nouvelle infraction doit statuer d’office sur la réintégration ; s’il ne le fait pas, une procédure ultérieure de réintégration peut être mise en œuvre pour statuer sur ce point (arrêt du Tribunal fédéral 6B_944/2008 du 22 avril 2009, consid. 2).</w:t>
      </w:r>
    </w:p>
    <w:p>
      <w:r>
        <w:rPr>
          <w:b/>
        </w:rPr>
        <w:t>E. 3.5</w:t>
      </w:r>
    </w:p>
    <w:p>
      <w:r>
        <w:t>En l’espèce, la faute de l’appelant est importante. A deux reprises, il s’est violemment opposé aux forces de l‘ordre dans l’exercice de leurs fonctions, les contraignant à recourir à la force pour accomplir leur mission. Il a blessé l’un d’eux et menacé un autre. Son comportement procède à l’évidence d’un regrettable manque de respect de l’autorité et d’un sentiment de toute puissance. Sa situation personnelle ne présente aucune particularité. Sa responsabilité est faiblement restreinte à dire d’experts, ce qui doit être pris en compte. L’appelant n’a pas du tout collaboré à l’enquête, s’abstenant de répondre aux convocations à réitérées reprises, niant une bonne partie des faits, revenant sur ses aveux partiels et blâmant le lésé, faisant preuve de bien peu d’introspection et encore moins de prise de conscience. L’absence d’antécédents a un effet neutre sur la fixation de la peine. L’infraction la plus grave est sans conteste celle du 8 avril 2018. Ces faits – par lesquels l’appelant s’est rendu coupable de violence ou menace contre les fonctionnaires à l’encontre de deux agents – emportent une peine de base de 140 jours-amende, qu’il convient d’augmenter à 150 jours-amende pour tenir compte de l’infraction en concours. Cette peine doit être ramenée à 110 jours-amende pour tenir compte de la responsabilité faiblement restreinte de l’appelant au moment des faits, qui réduit sa faute.</w:t>
      </w:r>
    </w:p>
    <w:p>
      <w:r>
        <w:t>- 16/22 - P/6427/2018 Le bénéfice du sursis lui est acquis. Celui-ci doit être accompagné, comme retenu à juste titre par le premier juge, d’une règle de conduite tendant, comme le préconisent les experts psychiatres, à ce que l’appelant soit astreint à un traitement ambulatoire. Afin d’assurer le respect de cette règle de conduite, l’appelant sera également astreint à une assistance de probation. L’appelant ne conteste ni le montant du jour-amende, qui correspond au minimum légal et apparaît adéquat, ni la durée du délai d’épreuve, laquelle l’est également compte tenu de la nécessité d’un suivi ambulatoire suffisamment long, étant relevé que cette longue durée est imposée en lieu et place d’un traitement ambulatoire au sens de l’art. 63 CP, auquel le premier juge a renoncé.</w:t>
      </w:r>
    </w:p>
    <w:p>
      <w:r>
        <w:rPr>
          <w:b/>
        </w:rPr>
        <w:t>E. 3.6</w:t>
      </w:r>
    </w:p>
    <w:p>
      <w:r>
        <w:t>Ni le premier juge, ni le MP, n’ont examiné et encore moins statué sur la réintégration suite à la libération conditionnelle accordée en juin 2017, alors que les faits du 8 avril 2018 se sont produits dans le délai d’épreuve et que le délai de trois ans de l’art. 89 al. 3 CP n’était pas échu. Dans la mesure où, dans un tel cas, la réintégration peut être ordonnée par une décision judiciaire ultérieure, la question se pose de savoir si, nonobstant l'interdiction de la reformatio in pejus, la Cour de céans pourrait ordonner la réintégration. Cela étant, compte tenu de la proximité de l’échéance du délai au-delà duquel la réintégration de l’appelant ne sera plus possible, il y sera renoncé, et mention de cette renonciation sera faite dans le dispositif de la présente décision.</w:t>
      </w:r>
    </w:p>
    <w:p>
      <w:r>
        <w:rPr>
          <w:b/>
        </w:rPr>
        <w:t>E. 4</w:t>
      </w:r>
    </w:p>
    <w:p>
      <w:r>
        <w:t>L'appel est ainsi partiellement admis. De plus, une partie des griefs de l’appelant – certes finalement rejetés – découle d’une erreur de procédure du MP. L’appelant ne devra en conséquence supporter qu’un quart des frais de la procédure d’appel (art. 428 et 426 al. 3 CPP), le solde étant laissé à la charge de l’Etat. Pour les mêmes motifs, l’émolument complémentaire de jugement de première instance sera laissé à la charge de l’Etat. Il n’y a en revanche pas lieu de revoir les autres frais de première instance, le changement de qualification juridique des faits et la réduction de la peine prononcée ne modifiant pas les frais encourus en procédure préliminaire et le premier juge ayant déjà tenu compte, dans la répartition des frais, des acquittements et du classement rendus (art. 428 al. 3 CPP).</w:t>
      </w:r>
    </w:p>
    <w:p>
      <w:r>
        <w:rPr>
          <w:b/>
        </w:rPr>
        <w:t>E. 5.1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 ungerechtfertigt ») par la suite, compte tenu de l'abandon (partiel) des poursuites. L'art. 431 al. 2 CPP vise spécifiquement l'indemnisation de la détention injustifiée en raison de sa durée, qualifiée d'excessive dans la mesure où</w:t>
      </w:r>
    </w:p>
    <w:p>
      <w:r>
        <w:t>- 17/22 - P/6427/2018 elle dépasse la sanction ou la peine privative de liberté prononcée par la suite (G. PIQUEREZ / A. MACALUSO, Procédure pénale suisse, 3e éd., Genève 2011, n. 2300). Une indemnisation est notamment possible si le nombre des jours de détention avant jugement dépasse celui des jours-amende (arrêt du Tribunal fédéral 6B_558/2013 du 13 décembre 2013 consid. 1.6).</w:t>
      </w:r>
    </w:p>
    <w:p>
      <w:r>
        <w:rPr>
          <w:b/>
        </w:rPr>
        <w:t>E. 5.2</w:t>
      </w:r>
    </w:p>
    <w:p>
      <w:r>
        <w:t>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w:t>
      </w:r>
    </w:p>
    <w:p>
      <w:r>
        <w:rPr>
          <w:b/>
        </w:rPr>
        <w:t>E. 5.3</w:t>
      </w:r>
    </w:p>
    <w:p>
      <w:r>
        <w:t>En l’espèce, l’appelant est finalement condamné à une peine pécuniaire de 110 jours-amende, alors qu’il a subi une détention avant jugement de 140 jours. Faute de décision permettant de comprendre les motifs du classement s’agissant des faits de violence domestique, il n’est pas possible de déterminer dans quelle mesure une partie de la détention injustifiée devrait être imputée à ces faits (art. 430 CPP). Le prévenu se verra donc allouer une indemnité correspondant à 30 jours de détention injustifiée, soit CHF 6'000.-.</w:t>
      </w:r>
    </w:p>
    <w:p>
      <w:r>
        <w:rPr>
          <w:b/>
        </w:rPr>
        <w:t>E. 6.1</w:t>
      </w:r>
    </w:p>
    <w:p>
      <w:r>
        <w:t>Selon l'art. 135 al. 1 CPP, le défenseur d'office est indemnisé conformément au tarif des avocats du canton du for du procès. L'art. 16 RAJ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w:t>
      </w:r>
    </w:p>
    <w:p>
      <w:r>
        <w:t>- 18/22 - P/6427/2018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dans l’état de frais produit par le conseil de l’appelant, la durée consacrée à la rédaction du mémoire d’appel est exagérée, s’agissant d’un dossier connu par l’avocate d’office pour l’avoir plaidé en première instance après avoir assisté son mandant pendant l’instruction au MP. Les deux conférences seront retenues, mais leur durée réduite à un total d’une heure, qui apparait suffisante compte tenu des questions encore litigieuses en appel. Enfin, l’étude du dossier en vue de l’appel et la rédaction de la déclaration d’appel sont des activités couvertes par la majoration forfaitaire qui ne donnent pas lieu à indemnisation.</w:t>
      </w:r>
    </w:p>
    <w:p>
      <w:r>
        <w:t>Tout compte fait, une durée globale de neuf heures pour la procédure d’appel, comprenant la rédaction du mémoire d’appel et de la réplique et une heure de conférence avec l’appelant, apparait adéquate.</w:t>
      </w:r>
    </w:p>
    <w:p>
      <w:r>
        <w:t>En conclusion, l'indemnité sera arrêtée à CHF 2'132.45 correspondant à neuf heures d'activité au tarif de CHF 200.-/heure plus la majoration forfaitaire de 10 % et l'équivalent de la TVA au taux de 7.7% en CHF 152.45. * * * * *</w:t>
      </w:r>
    </w:p>
    <w:p>
      <w:r>
        <w:t>- 19/22 - P/6427/2018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