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AARP/182/2018 vom 18. Juni 2018</w:t>
      </w:r>
    </w:p>
    <w:p>
      <w:r>
        <w:t>GE Cour de justice, 2018-06-18, FR</w:t>
      </w:r>
    </w:p>
    <w:p>
      <w:r>
        <w:rPr>
          <w:b/>
        </w:rPr>
        <w:t xml:space="preserve">Quelle: </w:t>
      </w:r>
      <w:r>
        <w:t>https://mcp.opencaselaw.ch/entscheid/ge_gerichte_AARP_182_2018</w:t>
      </w:r>
    </w:p>
    <w:p>
      <w:r>
        <w:t>FR: GE_GERICHTE AARP/182/2018 du 18 juin 2018</w:t>
      </w:r>
    </w:p>
    <w:p>
      <w:r>
        <w:t>IT: GE_GERICHTE AARP/182/2018 del 18 giugno 2018</w:t>
      </w:r>
    </w:p>
    <w:p>
      <w:pPr>
        <w:pStyle w:val="Heading2"/>
      </w:pPr>
      <w:r>
        <w:t>Erwägungen</w:t>
      </w:r>
    </w:p>
    <w:p>
      <w:r>
        <w:rPr>
          <w:b/>
        </w:rPr>
        <w:t>E. 3</w:t>
      </w:r>
    </w:p>
    <w:p>
      <w:r>
        <w:t>3.1.1. Selon les art. 426 al. 1 et 428 al. 1 CPP, les frais de la procédure de première instance – que la CPAR est tenue de revoir lorsqu'elle rend une nouvelle décision</w:t>
      </w:r>
    </w:p>
    <w:p>
      <w:r>
        <w:t>- 12/20 - P/3446/2016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w:t>
      </w:r>
    </w:p>
    <w:p>
      <w:r>
        <w:t>Selon l'art. 427 al. 1 let. c CPP, les frais de la procédure causés par les conclusions civiles de la partie plaignante peuvent être mis à sa charge lorsque celles-ci ont été écartées ou que la partie plaignante a été renvoyée à agir par la voie civile.</w:t>
      </w:r>
    </w:p>
    <w:p>
      <w:r>
        <w:t>3.1.2.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3.2</w:t>
      </w:r>
    </w:p>
    <w:p>
      <w:r>
        <w:t>Dans la mesure où il n'est pas revenu en appel sur le verdict de culpabilité et la peine prononcée par le Tribunal de police, il n'y a pas lieu de revoir les frais fixés par le tribunal de première instance. 3.3.1. En seconde instance, l'appelant A______ obtient partiellement gain cause, dans la mesure où le montant de son tort moral est augmenté de CHF 9'000.-, sur les CHF 28'000.- supplémentaires demandés.</w:t>
      </w:r>
    </w:p>
    <w:p>
      <w:r>
        <w:t>- 13/20 - P/3446/2016 3.3.2. Il y a ainsi lieu de lui faire supporter 1/3 des frais de la procédure d'appel lesquels comprendront un émolument de jugement de CHF 1'200.- (art. 14 al. 1 let. e du Règlement fixant le tarif des frais en matière pénale [RTFMP - E 4 10.03]), le solde restant à charge de l'Etat.</w:t>
      </w:r>
    </w:p>
    <w:p>
      <w:r>
        <w:rPr>
          <w:b/>
        </w:rPr>
        <w:t>E. 4</w:t>
      </w:r>
    </w:p>
    <w:p>
      <w:r>
        <w:t>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4.1.3.2. Dans une affaire vaudoise dans laquelle le recourant se plaignait du retranchement de 3,2 h liées à la résolution de problèmes informatiques, du fait d'une impossibilité à ouvrir le fichier informatique contenant la procédure que lui avait livrée le Ministère public de la Confédération, par le biais des logiciels de décompression standard, le Tribunal fédéral a considéré que ladite résolution n'incombait pas à l'avocat, mais au secrétariat, dont les frais font partie des frais généraux de l'étude et sont compris dans les honoraires d'avocat (arrêt du Tribunal fédéral 6B_928/2014 du 10 mars 2016, consid. 3.3.2.). Outre les honoraires proprement dits, la note de l’avocat indique séparément les frais, aussi appelés débours. Cette dernière expression désigne les dépenses provoquées par le litige, par exemple les frais d’affranchissement postaux, les taxes téléphoniques, les frais de copies ou de déplacements, les frais de recherches spécifiques sur des services internet payants (p. ex. ______, à l’exclusion des forfaits d’abonnement car il s’agit de frais généraux), mais non les frais de fournitures (matériel informatique, ouvrages pour la bibliothèque) ou de travaux courants de secrétariat qui, eux, sont compris dans les frais généraux (D. YERO, La procédure de modération des honoraires de l'avocat, in RJL - Recherches juridiques lausannoises Band/Nr. 53,2012, p. 108). Le travail courant du secrétariat est en principe compris dans les frais généraux de l’avocat et est donc rémunéré par la rétribution de son propre temps de travail, sauf accord contraire. A titre exceptionnel, il est admis qu’un travail spécifique du secrétariat comme la copie d’un dossier volumineux ou la recherche d’articles de presse puisse être facturé à part (D. YERO, op.cit, p. 119-120).</w:t>
      </w:r>
    </w:p>
    <w:p>
      <w:r>
        <w:t>- 15/20 - P/3446/2016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(Arrêt de la Chambre des recours du Tribunal cantonal vaudois 248/II, HC/2010/4, du 8 décembre 2009, consid. 4c, cité dans D. YERO, op.cit, p. 110 ). Dans un arrêt ACPR/224/2017 du 12 avril 2017, la Chambre pénale de recours a accepté d'indemniser un avocat à hauteur de CHF 174.- pour des photocopies et rappelé que le prévenu peut faire valoir les frais et débours liés à la défense de ses intérêts (photocopies et frais de port, frais de traductions ou d'expertises privées), pour autant qu'ils soient attestés et se soient révélés nécessaires (ACPR/224/2017 du 12 avril 2017 consid. 4.3 et 4.4 et références citées). La CPAR a par contre retenu que les frais généraux d'une Etude sont compris dans le tarif horaire (AARP/14264/15 du 9 mai 2017). 4.1.4.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Le refus d'entrer en matière sur les prétentions en indemnité sans auparavant interpeller les parties plaignantes sur ce point, constitue une violation de l'art. 433 al. 2 CPP et un déni de justice, dans la mesure où le juge aurait pu statuer d'office (arrêt du Tribunal fédéral 6B_1000/2015 du 28 septembre 2016 consid. 4). Dans un arrêt récent, contrairement à ce qui avait été décidé dans un arrêt 6B_1000/2015 du 28 septembre 2016 consid. 4, le Tribunal fédéral a retenu qu'une partie plaignante représentée par un avocat, laquelle demandait dans son mémoire de recours une indemnité, ne pouvait attendre de l'autorité pénale qu'elle l'invite à la chiffrer et à la justifier, dans la mesure où son conseil ne pouvait ignorer la règle de 433 al. 2 CPP (arrêt 6B_1345/2016 du 30 novembre 2017 consid. 7.2).</w:t>
      </w:r>
    </w:p>
    <w:p>
      <w:r>
        <w:t>- 16/20 - P/3446/2016 4.2.1. En 1ère instance, les parties plaignantes appelantes ont obtenu en grande partie gain de cause, dans la mesure où l'intimé a été reconnu coupable. Le principe de l'indemnisation de leurs dépenses nécessaires pour la procédure de première instance et d'appel leur est acquis. La note d'honoraires pour la procédure de première instance était sans conteste excessive, tant s'agissant du nombre d'heures facturées dans un tel dossier, peu complexe, que des taux horaires appliqués, ce que les appelants admettent en appel dans une certaine mesure. Une réduction s'imposait également, comme retenu à juste titre par le premier juge, pour tenir compte du gain partiel des, alors, trois parties plaignantes, dont deux se sont vues renvoyées au civil pour l'indemnisation de leur tort moral. Ainsi, il est justifié de retenir pour cette phase de la procédure, s'agissant d'indemniser les seules démarches utiles pour obtenir la condamnation pénale du prévenu et obtenir des prétentions civiles en faveur de l'appelant A______, 40 h d'activité au tarif de CHF 150.-, 4h à celui de CHF 350.- et 1h à celui de à CHF 450.- , soit un montant de CHF 7'850.-. Ce montant ne saurait en revanche être réduit une seconde fois pour tenir compte de la faute concomitante de la victime, critère qui n'entre qu'indirectement en compte par l'appréciation du "gain de cause" de la partie plaignante, à teneur de l'art. 433 al. 1 let. a CPP. 4.2.2. En appel, les deux parties plaignantes ont produit une note d'honoraires de leur conseil commun. Seul l'appelant A______ obtient partiellement gain de cause. L'indemnité requise sera en conséquence réduite de 1/3, conformément à la clé de répartition retenue pour les frais de la procédure de seconde instance (cf. supra consid. 3.3.2). A nouveau, l'activité déployée en appel, correspondant à 16h45 minutes d'activité, apparaît excessive au regard de la nature et de la difficulté de l'affaire, les démarches n'apparaissant pour certaines ni nécessaires, ni adéquates pour la défense raisonnable du point de vue de la partie plaignante, seul restant en effet à plaider le montant du tort moral de l'une d'elles et l'indemnisation fondée sur l'art. 433 CPP. Ainsi, des discussions approfondies avec l'appelant n'étaient pas nécessaires, de sorte que 30 minutes d'entretien avec le client (par téléphone et à l'Etude) auraient été suffisantes. Quant à la déclaration d'appel, elle n'avait pas à être substantiellement motivée (art. 399 al. 3 et 4 a contrario). La rédaction du mémoire d'appel motivé ne nécessitait pas plus de 4h d'activité. Référence étant faite à la notion de juste indemnité consacrée à l'art. 433 CPP, la CPAR retiendra une durée d'activité globale de 10h, à raison de 7h au tarif horaire de CHF 450.- (CHF 3'150.-) et de 3h à celui de CHF 350.- (CHF 1'050.-), pour reprendre grosso modo la ventilation proposée. Réduite à hauteur de 1/3 (soit CHF 1'400.-), elle sera arrêtée à CHF 2'800.-.</w:t>
      </w:r>
    </w:p>
    <w:p>
      <w:r>
        <w:t>- 17/20 - P/3446/2016 4.2.3. Les appelants demandent en sus, aux termes de leurs deux notes du 2 mai 2018, CHF 255.55, respectivement CHF 492.- à titre de "frais de photocopie et débours divers", ainsi que CHF 537.75, respectivement CHF 383.25 à titre de "frais de chancellerie". Ils n'étayent aucunement le premier de ces postes. Les seconds correspondent aux frais généraux d'une Etude, compris dans le tarif horaire (AARP/14264/15 du 9 mai 2017), de sorte qu'une indemnisation supplémentaire à ce titre ne se justifie pas.</w:t>
      </w:r>
    </w:p>
    <w:p>
      <w:r>
        <w:rPr>
          <w:b/>
        </w:rPr>
        <w:t>E. 4.3</w:t>
      </w:r>
    </w:p>
    <w:p>
      <w:r>
        <w:t>Enfin, les indemnités versées sur la base de l'art. 433 CPP s'entendent hors TVA, vu le domicile des parties plaignantes appelantes à l'étranger.</w:t>
      </w:r>
    </w:p>
    <w:p>
      <w:r>
        <w:rPr>
          <w:b/>
        </w:rPr>
        <w:t>E. 5</w:t>
      </w:r>
    </w:p>
    <w:p>
      <w:r>
        <w:t>Il est pris note de la renonciation de Me ______, défenseur d'office de C______, à toute indemnisation pour la procédure d'appel. * * * * *</w:t>
      </w:r>
    </w:p>
    <w:p>
      <w:r>
        <w:t>- 18/20 - P/3446/2016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