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AARP/182/2016 vom 3. Mai 2016</w:t>
      </w:r>
    </w:p>
    <w:p>
      <w:r>
        <w:t>GE Cour de justice, 2016-05-03, FR</w:t>
      </w:r>
    </w:p>
    <w:p>
      <w:r>
        <w:rPr>
          <w:b/>
        </w:rPr>
        <w:t xml:space="preserve">Quelle: </w:t>
      </w:r>
      <w:r>
        <w:t>https://mcp.opencaselaw.ch/entscheid/ge_gerichte_AARP_182_2016</w:t>
      </w:r>
    </w:p>
    <w:p>
      <w:r>
        <w:t>FR: GE_GERICHTE AARP/182/2016 du 3 mai 2016</w:t>
      </w:r>
    </w:p>
    <w:p>
      <w:r>
        <w:t>IT: GE_GERICHTE AARP/182/2016 del 3 maggio 2016</w:t>
      </w:r>
    </w:p>
    <w:p>
      <w:pPr>
        <w:pStyle w:val="Heading2"/>
      </w:pPr>
      <w:r>
        <w:t>Erwägungen</w:t>
      </w:r>
    </w:p>
    <w:p>
      <w:r>
        <w:rPr>
          <w:b/>
        </w:rPr>
        <w:t>E. 1</w:t>
      </w:r>
    </w:p>
    <w:p>
      <w:r>
        <w:t>La demande de révision a été formée par-devant l'autorité compétente et selon la forme prévue par la loi (art. 411 al. 1 CPP).</w:t>
      </w:r>
    </w:p>
    <w:p>
      <w:r>
        <w:rPr>
          <w:b/>
        </w:rPr>
        <w:t>E. 1.1</w:t>
      </w:r>
    </w:p>
    <w:p>
      <w:r>
        <w:t>et 6B_310/2011 du 20 juin 2011 consid. 1.6 ; N. SCHMID, Schweizerische Strafprozessordnung : Praxiskommentar, Zurich 2009, n. 1 ad art. 412 CPP ; A. KUHN / Y. JEANNERET (éds.), Commentaire romand : Code de procédure pénale suisse, Bâle 2011, n. 3 ad art. 412 CPP). 2.2.1 Dans différents arrêts datés du 26 février 2014, le Tribunal fédéral a posé le principe de la limite au-delà de laquelle il fallait admettre que les conditions de détention à la prison de Champ-Dollon, liées à la surpopulation carcérale y régnant, étaient indignes et, partant, qu'elles ouvraient le droit à une réparation. Cette jurisprudence a été dûment mentionnée au considérant 6 de l'arrêt dont la révision est requise, de sorte que la CPAR entend s'y référer, tout en rappelant qu'il en résulte en substance que l'occupation d'une cellule dite triple par six détenus avec une surface individuelle de 3,83 m2, restreinte encore par le mobilier, est constitutive d'une violation de l'art. 3 CEDH si elle s'étend sur une longue période, à savoir une durée s'approchant de trois mois consécutifs, et si elle s'accompagne d'autres mauvaises conditions de détention, telles que le confinement en cellule 23h sur 24h (ATF 140 I 125 consid. 3.6.3 p. 138 s. ; arrêt du Tribunal fédéral 1B_335/2013 du 26 février 2014 consid. 3.6.3). 2.2.2 Plus récemment encore, le Tribunal fédéral a certes considéré que la voie de la révision n'était pas envisageable pour faire constater une éventuelle violation de l'art.</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w:t>
      </w:r>
    </w:p>
    <w:p>
      <w:r>
        <w:t>- 7/13 - P/14767/2015 préalable sert avant tout à déterminer si les motifs invoqués à l'appui de la demande en révision sont vraisemblables (Message, op. cit., FF 2006, notamment 1305 ad ancien art. 419 - actuel 412 CPP ; A. DONATSCH / T. HANSJAKOB / V. LIEBER (éds), Kommentar zur Schweizerischen Strafprozessordnung (StPO), 2ème éd., Zurich 2014,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w:t>
      </w:r>
    </w:p>
    <w:p>
      <w:r>
        <w:rPr>
          <w:b/>
        </w:rPr>
        <w:t>E. 3</w:t>
      </w:r>
    </w:p>
    <w:p>
      <w:r>
        <w:t>3.1.1 Le requérant a conclu, à titre préalable, à l'octroi de l'assistance juridique et à la désignation de son conseil en qualité de défenseur d'office. Dans son écriture du 9 novembre 2015, il a cependant sollicité le paiement d'une indemnité pour les frais d'avocat encourus au tarif d'un conseil de choix. S'il est vrai que la conclusion précitée aurait pu donner lieu à une ordonnance présidentielle séparée, l'absence d'une telle décision ne pouvait être interprétée comme le refus d'y donner une suite favorable, d'autant que d'autres conclusions prises "préalablement" par le requérant ne pouvaient qu'être traitées avec le fond, à l'instar de celle tendant à l'annulation de l'arrêt du 27 novembre 2014 en tant qu'il le condamnait à sept ans et demi de peine privative de liberté. Du reste, la CPAR avait aussi admis au moins implicitement la recevabilité de la requête, puisqu'elle est entrée en matière sur celle-ci, en sollicitant une détermination tant du MP que du Directeur de la prison de Champ-Dollon. 3.1.2 Au demeurant, en matière de révision, la question de la désignation d'un défenseur d'office intervient dès l'instant où la juridiction d'appel entre en matière sur la demande, comme cela résulte de l'art. 388 let. c par renvoi de l'art. 412 al. 4 CPP. Or, une défense d'office se justifie en l'occurrence, puisque le requérant ne dispose pas de ressources suffisantes et que le recours aux services d'un avocat est en principe nécessaire pour traiter une demande de cette nature (cf. art. 132 al. 1 let. b et al. 2 CPP appliqué par analogie en vertu de l'art. 379 CPP). 3.2.1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la rémunération des démarches diverses, telles que rédaction de courriers, entretiens téléphoniques, prise de connaissance de décisions, etc. 3.2.2 En l'espèce, la note d'honoraires établie par Me B______ fait état de 16 heures 40 ou 1000 minutes d'activité au tarif d'un chef d'étude, TVA en sus. Sous réserve du temps consacré à la rédaction de sept courriers à raison de 10 minutes chacun, activité comprise dans le forfait pour l'activité diverse, l'état de frais produit par le défenseur d'office du requérant, considéré dans sa globalité, parait adéquat et conforme aux principes applicables en la matière, de sorte qu'il n'est pas nécessaire de reprendre le détail des postes qui le composent.</w:t>
      </w:r>
    </w:p>
    <w:p>
      <w:r>
        <w:t>- 11/13 - P/14767/2015 Ainsi, l'indemnité sera arrêtée à CHF 4'017.60 correspondant à 15 heures et 30 minutes d'activité au tarif de CHF 200.-/heure (CHF 3'100.-), plus la majoration forfaitaire de 20% (CHF 620.-) et l'équivalent de la TVA au taux de 8% en CHF 297.60.</w:t>
      </w:r>
    </w:p>
    <w:p>
      <w:r>
        <w:rPr>
          <w:b/>
        </w:rPr>
        <w:t>E. 4</w:t>
      </w:r>
    </w:p>
    <w:p>
      <w:r>
        <w:t>Le requérant obtenant pour l'essentiel gain de cause, les frais de la présente procédure seront laissés à la charge de l'État (art. 428 al. 1 CPP). * * * * *</w:t>
      </w:r>
    </w:p>
    <w:p>
      <w:r>
        <w:t>- 12/13 - P/14767/2015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