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AARP/182/2012 vom 15. Juni 2012</w:t>
      </w:r>
    </w:p>
    <w:p>
      <w:r>
        <w:t>GE Cour de justice, 2012-06-15, FR</w:t>
      </w:r>
    </w:p>
    <w:p>
      <w:r>
        <w:rPr>
          <w:b/>
        </w:rPr>
        <w:t xml:space="preserve">Quelle: </w:t>
      </w:r>
      <w:r>
        <w:t>https://mcp.opencaselaw.ch/entscheid/ge_gerichte_AARP_182_2012</w:t>
      </w:r>
    </w:p>
    <w:p>
      <w:r>
        <w:t>FR: GE_GERICHTE AARP/182/2012 du 15 juin 2012</w:t>
      </w:r>
    </w:p>
    <w:p>
      <w:r>
        <w:t>IT: GE_GERICHTE AARP/182/2012 del 15 giugno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- 9/18 - P/11469/2011</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30 al. 1 du Code pénal du 21 décembre 1937 (CP ; RS 311.0) dispose que si une infraction n'est punie que sur plainte, toute personne lésée peut porter plainte contre l'auteur.</w:t>
      </w:r>
    </w:p>
    <w:p>
      <w:r>
        <w:rPr>
          <w:b/>
        </w:rPr>
        <w:t>E. 2.2.1</w:t>
      </w:r>
    </w:p>
    <w:p>
      <w:r>
        <w:t>Les art. 30 ss CP ne contiennent pas de prescriptions de forme. Une plainte est valable si, dans le délai de trois mois, elle a été déposée auprès de l'autorité compétente selon le droit cantonal et si l'ayant droit a manifesté, dans les formes prévues par ce droit, sa volonté inconditionnelle que l'auteur de l'infraction soit poursuivi (ATF 106 IV 244 consid. 1 p. 245). L'art. 13 al. 1 du Code de procédure pénale, du 29 septembre 1977 (CPP-GE ; RS E 4 20), en vigueur jusqu’au 1er janvier 2011, prévoyait que les dénonciations et les plaintes étaient adressées ou remises au procureur général, aux maires, ou à tout fonctionnaire de la police et étaient enregistrées. Selon l'art. 14 CPP-GE, elles devaient être écrites et signées et le retrait en était soumis aux mêmes conditions de forme (arrêt du Tribunal fédéral 6B_208/2010 consid 2.1 du 15 juillet 2010). L’art. 304 CPP, applicable aux procédures pendantes le 1er janvier 2011 (art. 448 CPP), dispose que le retrait d’une plainte pénale est soumis aux même conditions que la plainte elle-même (al. 2), laquelle doit être déposée auprès de la police, du ministère public ou de l’autorité compétente en matière de contravention, par écrit ou</w:t>
      </w:r>
    </w:p>
    <w:p>
      <w:r>
        <w:t>- 10/18 - P/11469/2011 oralement, auquel cas elle est consignée au procès-verbal (al. 1). Par ailleurs, selon l’art. 118 al. 2 CPP, la plainte pénale emporte déclaration que le lésé souhaite participer à la procédure comme demandeur au pénal ou au civil. Le lésé peut en tout temps renoncer à user des droits qui sont les siens (art. 120 al. 1). Selon la version française de l’art. 120 al. 2 CPP, si la renonciation n’est pas expressément restreinte à l’aspect pénal ou à l’aspect civil, elle vaut tant pour la plainte pénale que l’action civile. Toutefois, les textes allemand et italien de l’art. 120 al. 2 CPP parlent de l’action pénale (« Straf- […]klage », «azione penale » ) et non de la plainte («Strafantrag » ; « querela » ). Pour la doctrine, le CPP tel qu’adopté ne prévoit pas, contrairement au projet, que la renonciation au statut de demandeur au pénal vaudrait ipso jure retrait d’une éventuelle plainte pénale, et il s’agit là d’un silence qualifié (A. KUHN / Y. JEANNERET (éds), Commentaire romand : Code de procédure pénale suisse, Bâle 2011, p. 469, n.8 ad art. 120 ; A. DONATSCH / T. HANSJAKOB / V. LIEBER (éds), Kommentar zur Schweizerischen Strafprozessordnung (StPO), Zurich 2010, p. 508, n. 5 ad art. 120)</w:t>
      </w:r>
    </w:p>
    <w:p>
      <w:r>
        <w:rPr>
          <w:b/>
        </w:rPr>
        <w:t>E. 2.2.2</w:t>
      </w:r>
    </w:p>
    <w:p>
      <w:r>
        <w:t>Le lésé au sens de l’art. 30 CP est celui dont le bien juridique est directement atteint par l'infraction. L'interprétation de l'infraction en cause permet seule de déterminer quel est le titulaire du bien juridique atteint (arrêt du Tribunal fédéral 6B_622/2008 du 13 janvier 2009 consid. 5.1). S'agissant des dommages à la propriété, le droit de porter plainte n'est pas réservé au seul propriétaire de la chose ; il peut être exercé par le locataire ainsi que par toute personne atteinte dans son droit d'user de la chose (ATF 118 IV 209 consid. 3 p. 212 ; arrêt du Tribunal fédéral 6B_622/2008 du 13 janvier 2009 consid. 5.1). 2.3.1.1 Certes, la plainte formée par C______ le 9 mars 2010 au poste de gendarmerie de la Servette ne figure pas au dossier et un rapport de police mentionne qu’aucune plainte n’aurait été enregistrée. Toutefois, l’intéressée a affirmé avoir bien déposé plainte, le jour-même des faits, et l’attestation de dépôt de plainte produite confirme ses dires. Il convient dès lors de retenir que plainte pénale a bien été déposée à la police, le jour-même des faits, conformément aux exigences formelles posées par l’art. 14 CPP-Ge alors en vigueur et dans le délai de trois mois de l’art. 31 CP, cette plainte ayant ensuite été égarée par la police. 2.3.1.2 Dans son courrier du 2 avril 2012 à la Chambre de céans, C______, disant douter que l’appelant soit en mesure de réparer le dommage causé et regrettant que les précédentes convocations l’aient été à ses frais, demande à être retirée du « dossier de plaignant, afin d’éviter des frais supplémentaires ». Cette déclaration vaut renonciation à l’exercice des droits de la partie plaignante, soit retrait de l’action pénale et civile, faute de précision. Il n’en découle en revanche nullement que la lésée ait voulu retirer sa plainte, le retrait ou le maintien de la plainte étant sans incidence sur la question objet de ses préoccupations, soit celle des frais encourus. En outre, la renonciation à la qualité de partie plaignante n’emporte pas retrait de la plainte pénale.</w:t>
      </w:r>
    </w:p>
    <w:p>
      <w:r>
        <w:t>- 11/18 - P/11469/2011 2.3.1.3 Aussi, une plainte pénale a bien été déposée et maintenue pour les faits commis au préjudice de C______, laquelle a en revanche renoncé à sa qualité de partie plaignante au stade de l’appel. La poursuite du chef de dommages à la propriété peut avoir lieu, quand bien même l’infraction de l’art. 144 CP ne se poursuit-elle que sur plainte. 2.3.2 La plainte pénale déposée par A______ est également valable, vu la jurisprudence précitée du Tribunal fédéral qui reconnaît la qualité pour déposer plainte pénale du locataire atteint dans son droit d'user de la chose et qui a le devoir de la conserver. En effet, ce lésé a bien été atteint dans son droit d’user de la voiture louée, en y laissant des effets personnels, ce qui est l’une des prérogatives d’un locataire. Au demeurant, il n’est nullement établi que la voiture avait été remplacée lorsqu’il a déposé plainte pénale, le jour-même de la découverte des faits.</w:t>
      </w:r>
    </w:p>
    <w:p>
      <w:r>
        <w:rPr>
          <w:b/>
        </w:rPr>
        <w:t>E. 2.4</w:t>
      </w:r>
    </w:p>
    <w:p>
      <w:r>
        <w:t>Contrairement à ce que soutient l’appelant, le dossier contient suffisamment d’indices pour retenir qu’il est bien l’auteur de la tentative de cambriolage du 9 mars 2010. Toute l’argumentation développée par l’appelant relative aux traces ADN ou à une incertitude s’agissant du lieu où la veste a été retrouvée est sans pertinence. Outre le fait qu’il ne conteste pas qu’il était le possesseur de ce vêtement au moment des faits, ladite veste n’est pas un élément à charge, faute de lien établi avec le cambriolage. A juste titre le premier juge n’a pas forgé sa conviction sur cet élément. De même, il n’est guère déterminant qu’aucun outil n’ait été retrouvé sur l’appelant, lequel a pu s’en débarrasser, ou alors avoir agi avec un comparse. Il demeure en revanche que selon le témoignage clair du gendarme qui a interpellé l’appelant, celui-ci se cachait entre deux voitures et était transpirant et essoufflé, ce qui est incompatible avec sa version selon laquelle il venait de se réveiller et s’éloignait tranquillement du lieu où il s’était assoupi, soit une voiture selon sa première version, le bitume entre deux voitures selon les déclarations ultérieures. Peu importe à cet égard qu’un gendarme, faisant partie d’une autre patrouille, ait pensé, 18 mois après les événements, que l’appelant avait été interpellé par un chien de la brigade canine. En outre, l’appelant a été désigné par un chien policier, qui a suivi sa trace depuis les lieux du délit. Cette identification ne constitue pas une preuve, une erreur ne pouvant être exclue dès lors que le chien a également désigné des gants. Elle est en revanche un indice ce que l’appelant est passé, dans les 15 minutes précédant sa désignation par le chien, devant le salon de coiffure. Il y a également le fait que l’appelant a été interpellé très rapidement après les faits et à proximité. A cet égard, il est inexact qu’un individu prenant la fuite depuis la rue G______ en direction de la station d’essence du n°______ chemin I______, n’aurait pu être repéré vers la rue des U______. L’appelant peut fort bien avoir été aperçu à la hauteur de la rue des U______ et avoir poursuivi sa fuite sur le chemin I______, ou alors avoir emprunté la rue des U______ puis avoir rejoint le chemin I______ depuis</w:t>
      </w:r>
    </w:p>
    <w:p>
      <w:r>
        <w:t>- 12/18 - P/11469/2011 l’avenue de N______ ou la rue du O______. Les déclarations de l’appelant sont contradictoires et peu vraisemblables, vu le lieu de repos pour le moins improbable. Les condamnations résultant du casier judiciaire même réduit et les deux autres cambriolages commis ou tentés à l’origine de la précédente procédure sont également un élément à charge, dans la mesure où il en résulte que l’appelant est susceptible de commettre de tels faits. L’ensemble de ces éléments constitue un faisceau d’indices convergents établissant la culpabilité de l’appelant au-delà de tout doute raisonnable.</w:t>
      </w:r>
    </w:p>
    <w:p>
      <w:r>
        <w:rPr>
          <w:b/>
        </w:rPr>
        <w:t>E. 2.5</w:t>
      </w:r>
    </w:p>
    <w:p>
      <w:r>
        <w:t>L’appelant ne conteste pas la qualification juridique de dommages à la propriété et de tentative de vol et de violation de domicile s’agissant des événements du mars 2010, ni celle de dommages à la propriété en ce qui concerne le bris de glace de la voiture louée par la partie plaignante A______. Plainte pénale a été dûment déposée s’agissant des infractions ne se poursuivant pas d’office. L’appel doit donc être rejeté sur ces points et le verdict de culpabilité confirmé.</w:t>
      </w:r>
    </w:p>
    <w:p>
      <w:r>
        <w:rPr>
          <w:b/>
        </w:rPr>
        <w:t>E. 2.6</w:t>
      </w:r>
    </w:p>
    <w:p>
      <w:r>
        <w:t>S’agissant du recel, la Cour de céans n’accorde aucune crédibilité à la déclaration de l’appelant devant le premier juge, selon laquelle il pensait que les objets litigieux avaient une valeur de CHF 300.- au plus, étant rappelé que ce montant correspond à la limite fixée par la jurisprudence pour retenir qu’un élément patrimonial est de faible valeur au sens de l’art. 172ter CP (ATF 121 IV 261). D’une part, cette affirmation n’a pas été faite spontanément, en cours de procédure, mais au tout dernier moment, et sur interpellation du défenseur de l’appelant. D’autre part, l’appelant devait au moins se douter que les objets en cause avaient une valeur objective supérieure, vu leur nombre et leur nature et vu qu’il habite en Suisse depuis de nombreuses années de sorte qu’il connaît les prix usuels. Eu égard à la valeur de objets supérieure à CHF 300.-, connue ou à tout le moins envisagée et acceptée par l’appelant, l’infraction de recel se poursuivait d’office de sorte que la condamnation y relative doit être confirmée, nonobstant l’absence de plainte pénale.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- 13/18 - P/11469/2011 3.2.1 D'après l'art. 49 al. 1 CP, si, en raison d'un ou de plusieurs actes, l'auteur remplit les conditions de plusieurs peines de même genre, le juge le condamne à la peine de l'infraction la plus grave et l'augmente dans une juste proportion. 3.2.2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(arrêt du Tribunal fédéral 6B_460/2010 du 4 février 2011 consid. 4.3.1 destiné à la publication).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(arrêt du Tribunal fédéral 6B_28/2008 du 10 avril 2008 consid. 3.3.2 avec référence aux ATF 127 IV 106 consid. 2 p. 107 ; 116 IV 14 consid. 2b p. 17 et les références citées).</w:t>
      </w:r>
    </w:p>
    <w:p>
      <w:r>
        <w:rPr>
          <w:b/>
        </w:rPr>
        <w:t>E. 3.3</w:t>
      </w:r>
    </w:p>
    <w:p>
      <w:r>
        <w:t>Pour l'octroi du sursis selon l’art. 42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w:t>
      </w:r>
    </w:p>
    <w:p>
      <w:r>
        <w:t>- 14/18 - P/11469/2011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Ces conditions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w:t>
      </w:r>
    </w:p>
    <w:p>
      <w:r>
        <w:rPr>
          <w:b/>
        </w:rPr>
        <w:t>E. 3.4</w:t>
      </w:r>
    </w:p>
    <w:p>
      <w:r>
        <w:t>Si, durant le délai d'épreuve, le détenu libéré conditionnellement commet un crime ou un délit, le juge qui connaît de la nouvelle infraction ordonne sa réintégration dans l'établissement, à moins qu’il n’y ait pas lieu de craindre que le condamné ne commette de nouvelles infractions (art. 89 al. 1 et 2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Si, en raison de la nouvelle infraction, une peine privative de liberté ferme doit être prononcée, et que celle-ci entre en concours avec le solde de peine devenu exécutoire à la suite de la révocation, le juge prononce, en vertu de l’art. 49, une peine d’ensemble (art. 89 al. 6).</w:t>
      </w:r>
    </w:p>
    <w:p>
      <w:r>
        <w:rPr>
          <w:b/>
        </w:rPr>
        <w:t>E. 3.5</w:t>
      </w:r>
    </w:p>
    <w:p>
      <w:r>
        <w:t>La faute de l’appelant est importante. Il s’en est pris à quatre reprises à la propriété d’autrui et persiste à séjourner en Suisse, au mépris de la législation sur le séjour des étrangers, qu’il connaît pourtant. Les condamnations pour des infractions contre le patrimoine ou à la LEtr, outre les infractions à LStup résultant du casier judiciaire, ne l’ont pas dissuadé de récidiver, s’agissant des faits postérieurs à la dernière condamnation, pas plus que l’avertissement sérieux qu’aurait dû constituer l’interpellation le 9 mars 2010. Il faut donc retenir que l’appelant est ancré dans la petite délinquance. Contrairement à ce qu’il prétend, sa collaboration a été mauvaise, vu ses dénégations initiales s’agissant du cambriolage dans le véhicule loué par A______ et jusqu’en appel en ce qui concerne le salon de coiffure, sans oublier ses déclarations tardives et fantaisistes sur son appréciation de la valeur des objets recelés. Les excuses formulées à l’audience de jugement paraissent de pure circonstance. De surcroît, l’appelant n’hésite pas à utiliser la présence de ses enfants</w:t>
      </w:r>
    </w:p>
    <w:p>
      <w:r>
        <w:t>- 15/18 - P/11469/2011 en Suisse pour minimiser sa faute s’agissant du séjour illégal, alors qu’il reconnaît n’avoir aucun contact avec l’aîné, et que la relation avec le cadet ne peut constituer sa motivation première, puisqu’il réside en Suisse depuis 1993, soit bien avant la naissance de cet enfant. La prise de conscience est donc inexistante. Les mobiles sont égoïstes, qu’il s’agisse de subvenir à ses besoins au moyen des biens d’autrui, au lieu de recourir à l’aide au retour voire l’aide sociale, si le revenu allégué ne suffisait pas, ou du refus de quitter le pays au mépris de la législation en vigueur. Le seul facteur de réduction à prendre en considération est celui de la tentative, s’agissant de certaines infractions (art. 22 al.1 CP). La situation personnelle est certes précaire, faute de statut, mais n’excuse pas les actes commis. Les projets d’avenir ne sont pas crédibles : il n’est pas établi que le frère domicilié à Marseille existe réellement, ni que l’appelant pourrait s’installer en France légalement, et on ne voit pas pour quel motif il agirait de la sorte aujourd’hui, alors qu’il ne l’a pas fait jusqu’à présent. Les antécédents, y compris non spécifiques, sont mauvais. Ces circonstances justifient une sanction sévère et un pronostic défavorable, ce qui ne peut que conduire au refus d’un sursis partiel et la révocation de la libération conditionnelle. La peine à prononcer est partiellement complémentaire à celle prononcé le 26 août 2010, ce que le premier juge n’a pas méconnu. Elle doit en outre être une peine d’ensemble avec le solde de peine en 71 jours dont la libération conditionnelle est révoquée. Dans ces circonstances, la quotité de la peine sera arrêtée à 14 mois, au lieu des 14 mois et 11 jours découlant de la peine d’une année prononcée par le premier juge combinée avec le solde de 71 jours.</w:t>
      </w:r>
    </w:p>
    <w:p>
      <w:r>
        <w:rPr>
          <w:b/>
        </w:rPr>
        <w:t>E. 4</w:t>
      </w:r>
    </w:p>
    <w:p>
      <w:r>
        <w:t>La renonciation à la qualité de partie plaignante de C______ emportant retrait de l’action pénale et civile en ce qui la concerne, la condamnation au paiement en sa faveur doit être annulée et le jugement reformé dans cette mesure également.</w:t>
      </w:r>
    </w:p>
    <w:p>
      <w:r>
        <w:rPr>
          <w:b/>
        </w:rPr>
        <w:t>E. 5</w:t>
      </w:r>
    </w:p>
    <w:p>
      <w:r>
        <w:t>L’appelant n’obtient que très partiellement gain de cause. Il sera partant condamné au quatre cinquièmes des frais de la procédure, comprenant un émolument de CHF 1'200.- (art. 14 al. 1 let. e du règlement fixant le tarif des frais en matière pénale, du 22 décembre 201 [RTFMP ; E 4 10.03]). Il n’y a pas lieu à réduction des frais de la procédure de première instance, le jugement étant confirmé pour l’essentiel.</w:t>
      </w:r>
    </w:p>
    <w:p>
      <w:r>
        <w:t>* * * * *</w:t>
      </w:r>
    </w:p>
    <w:p>
      <w:r>
        <w:t>- 16/18 - P/11469/2011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