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AARP/181/2015 vom 13. April 2015</w:t>
      </w:r>
    </w:p>
    <w:p>
      <w:r>
        <w:t>GE Cour de justice, 2015-04-13, FR</w:t>
      </w:r>
    </w:p>
    <w:p>
      <w:r>
        <w:rPr>
          <w:b/>
        </w:rPr>
        <w:t xml:space="preserve">Quelle: </w:t>
      </w:r>
      <w:r>
        <w:t>https://mcp.opencaselaw.ch/entscheid/ge_gerichte_AARP_181_2015</w:t>
      </w:r>
    </w:p>
    <w:p>
      <w:r>
        <w:t>FR: GE_GERICHTE AARP/181/2015 du 13 avril 2015</w:t>
      </w:r>
    </w:p>
    <w:p>
      <w:r>
        <w:t>IT: GE_GERICHTE AARP/181/2015 del 13 aprile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- 10/20 - P/9249/2010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Afin de déterminer quel moyen de preuve doit être administré, le juge dispose d'un pouvoir d'appréciation (arrêt 6B_484 2012 du 11 décembre 2012 consid. 1.2 et les références citées). Une appréciation anticipée des nouvelles preuves demandées découle de l'art. 389 al. 3 CPP et est admise par la jurisprudence (arrêt 6B_614/2012 précité). L'autorité cantonale peut ainsi notamment refuser des preuves nouvelles qui ne sont pas nécessaires au traitement du recours, en particulier lorsqu'une administration anticipée non arbitraire de la preuve démontre que celle-ci ne sera pas de nature à modifier le résultat de celles déjà administrées, mais également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 A. DONATSCH / T. HANSJAKOB / V. LIEBER (éds), Kommentar zur Schweizerischen Strafprozessordnung (StPO), Zurich 2010,ad art. 398 CPP, n. 17).</w:t>
      </w:r>
    </w:p>
    <w:p>
      <w:r>
        <w:rPr>
          <w:b/>
        </w:rPr>
        <w:t>E. 2.2</w:t>
      </w:r>
    </w:p>
    <w:p>
      <w:r>
        <w:t>Conformément aux art. 403 al. 4 et 331 al. 1 CPP applicable par renvoi de l’art. 405 al. 1 CPP, la direction de la procédure statue sur les réquisitions de preuves</w:t>
      </w:r>
    </w:p>
    <w:p>
      <w:r>
        <w:t>- 11/20 - P/9249/2010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2.3</w:t>
      </w:r>
    </w:p>
    <w:p>
      <w:r>
        <w:t>Les actes des parties doivent être rédigés dans la langue officielle du canton. A défaut, un délai doit être accordé pour produire - sous peine d'irrecevabilité - une traduction dans cette langue (arrêt du Tribunal fédéral 1B_17/2012 du 14 février 2012 = SJ 2012 I 341 consid. 3 p. 343). A Genève on procède en français (art. 13 de la Loi genevoise d'application du code pénal suisse et d'autres lois fédérales en matière pénale [LACP ; E 4 10]). La direction de la procédure peut autoriser des dérogations (art. 67 al. 2 CPP).</w:t>
      </w:r>
    </w:p>
    <w:p>
      <w:r>
        <w:rPr>
          <w:b/>
        </w:rPr>
        <w:t>E. 2.4</w:t>
      </w:r>
    </w:p>
    <w:p>
      <w:r>
        <w:t>Des preuves nouvelles peuvent ainsi légitimement être produites jusqu'à l'ouverture des débats, sauf notamment en présence d'un comportement de mauvaise foi de celui qui les produit, ce qui n'est pas établi en l'espèce, d'autant plus que l'appelante n'a pas été assistée en première instance. En conséquence, les pièces n'ont pas à être écartées pour cause de tardiveté. Après un tri de pièces produites le 19 mars 2015, dont une traduction en français des pièces 1 à 8, 10 et 11, la CPAR retient comme pertinentes pour trancher l'appel les pièces 2 à 8, 10 et 11 et 15 à 18 dudit chargé. Elle écarte en revanche la pièce 1 qui n'est ni datée ni signée et n'est pas apte à constituer une preuve. Elle écarte également les pièces 9, ainsi que 12 à 14, puisque non traduites malgré la demande expresse formulée par la CPAR le 20 mars 2015.</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w:t>
      </w:r>
    </w:p>
    <w:p>
      <w:r>
        <w:t>- 12/20 - P/9249/2010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références citées). 3.2.1. Selon l'art. 110 ch. 4 CP, sont des titres tous les écrits destinés et propres à prouver un fait ayant une portée juridique et tous les signes destinés à prouver un tel</w:t>
      </w:r>
    </w:p>
    <w:p>
      <w:r>
        <w:t>- 13/20 - P/9249/2010 fait. L'enregistrement sur des supports de données et sur des supports-images est assimilé à un écrit s'il a la même destination. 3.2.2. L’art. 251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(ATF 132 IV 57 consid. 5.1.1 p. 60). A titre d’exemple, l’on peut mentionner le cas de l’auteur qui signe le titre du nom d’autrui pour faire croire faussement qu’il émane de cette personne (ATF 118 IV 254 consid. 4 p. 259), une signature usurpée n’étant du reste pas nécessaire, puisqu’il suffit que le titre fasse apparaître un faux auteur ou la signature d’une autre personne qui n’a nullement approuvé le contenu du texte (B. CORBOZ, Les infractions en droit suisse, 3e éd., Berne 2010, n. 57 et n. 59 ad art. 251 CP). Le faux intellectuel vise, quant à lui, un titre qui émane de son auteur apparent, mais qui est mensonger dans la mesure où son contenu ne correspond pas à la réalité (ATF 132 IV 12 consid. 8.1 p. 14s). Dans ce dernier cas, le document en question doit avoir une valeur probante plus grande que dans l’hypothèse d’un faux matériel, sa crédibilité devant être accrue et son destinataire devant pouvoir s’y fier raisonnablement (ATF 129 IV 130 consid. 2.1 p. 134). Lorsqu’il y a création d’un titre faux, l’acte est punissable sans qu’il soit nécessaire de se demander encore s’il y a un faux intellectuel (ATF 123 IV 17 consid. 2e p. 21 ; B. CORBOZ, op. cit., n. 61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 déduite du seul fait que l’auteur recourt à un faux (ATF 135 IV 12 consid. 2.2 p. 15s ; arrêt du Tribunal fédéral 6B_522/2011 du 8 décembre 2011 consid. 1.3).</w:t>
      </w:r>
    </w:p>
    <w:p>
      <w:r>
        <w:t>- 14/20 - P/9249/2010 3.3.1. En l'espèce, la "déclaration sur l'honneur" du 14 août 2004 et la "reconnaissance de dette" du 10 juin 2006 constituent des titres au sens des art. 110 ch. 4 et 251 CP, dans la mesure où ces documents tendent à prouver l’existence d'un engagement de B______, dont découlerait, en faveur de l’appelante, le versement d'une contribution d'entretien de CHF 2'000.- au moins ainsi que le remboursement des objets prétendument cassés. Ces documents sont dès lors propres et destinés à prouver cette volonté, l’appelante les ayant du reste utilisés à cette fin en les produisant à l’appui de la procédure de divorce. 3.3.2. Il existe un faisceau d'indices convergents permettant de retenir que l'appelante a procédé à un faux dans les titres au sens de l'art. 251 CP. En premier lieu, la partie plaignante est restée constante dans ses déclarations, y compris en audience de confrontation devant le Tribunal de police. Elle a toujours expliqué qu'elle n'avait jamais signé les documents litigieux et que l'appelante lui avait soumis des feuilles blanches pour signature. Ensuite, l'expertise graphologique vient renforcer la thèse de l'intimé dans la mesure où il est vraisemblable que les signatures apposées sur les deux documents l'ont été sur plusieurs feuilles en blanc et à la même époque. Cela résulte d'abord du fait que les signatures ont été apposées dans la même zone, particularité souvent rencontrée lorsque plusieurs feuilles sont signées en blanc, les unes à la suite des autres. L'utilisation d'un "gel pen" à deux ans d'intervalle a ensuite été qualifiée d'étonnante, la durée de vie d'un tel objet étant limitée. Il pouvait donc en être déduit qu'il était probable que les signatures avaient été apposées à la même date. La mise en page du texte, différente des options par défaut, laissait également penser que le texte avait été apposé après les signatures, et modifié en sorte de ne pas être trop proche de celles-ci. A cela s'ajoute le fait que l'appelante a varié dans ses déclarations s'agissant des circonstances de l'établissement du document "déclaration sur l'honneur", disant tantôt que la signataire s'était vue expliquer son contenu par elle-même en grec, tantôt par son ex-époux qui parlait également cette langue. S'y ajoute le fait que comme cela ressort de l'expertise, cette personne a utilisé un stylo bille pour signer ce document, après son impression, alors que l'intimé a utilisé un stylo gel pen. Si tous deux avaient signé ensemble cet engagement, ils l'auraient vraisemblablement fait avec le même stylo. L'appelante essaie vainement de tirer argument, des années plus tard, s'agissant en particulier d'expliquer l'existence de traces de foulage sur les documents litigieux, du fait qu'à l'époque de leur confection, tous deux avaient été établis à deux exemplaires. Elle ne l'avait jamais prétendu jusque-là. Cette explication qui intervient près de quatre ans et demi après sa première audition à la police et plus de deux ans</w:t>
      </w:r>
    </w:p>
    <w:p>
      <w:r>
        <w:t>- 15/20 - P/9249/2010 après les conclusions de l'expert apparaît montée de toutes pièces a posteriori pour tenter de mettre à néant l'une des constatations clés de l'expertise. Il est de plus difficilement concevable de retenir que l'intimé aurait en toute connaissance de cause signé en août 2004 un engagement tenant compte des expectatives d'une assurance-vie, dont l'intimée reconnaît qu'elle n'a pas été conclue à cette époque, mais probablement en 2006, étant relevé qu'alors elle n'en était plus l'une des bénéficiaires. Il ressort par ailleurs des déclarations du fils de l'appelante que l'intimé l'a approché à un moment donné pour lui demander s'il avait souvenir qu'il aurait dans le passé signé des documents en blanc. Même si celui-là a déclaré ne pas avoir vu l'intimé le faire, il n'est pas non plus venu contester cette possibilité. La CPAR relèvera à cet égard le caractère peu crédible, voire fantaisiste, des explications données par la plaignante à cet égard, à savoir que son fils lui avait rapporté que la partie plaignante lui remettait des petits papiers présignés, ne sachant toutefois pas de quoi il s'agissait. L'appelante n'ignorait rien, au contraire, des affaires de son époux, tout comme son fils d'ailleurs, ayant bien insisté sur la gestion qu'ils en avaient tous deux et allant elle-même, après son départ pour la Finlande, jusqu'à ouvrir ses courriers, sous prétexte de s'interroger sur l'importance de leur contenu. Le rapprochement de ces éléments permet donc de mettre en évidence que, quand bien même la partie plaignante a signé les documents litigieux, elle n’en est pas l’auteur. Ceux-ci ont été établis postérieurement, sur des feuilles signées en blanc, sans qu'elle ne fût en mesure d’adhérer à leur contenu. Il s'agit par conséquent de faux matériels. Au vu du contenu des pièces litigieuses, qui prévoient des prestations financières en faveur de l'appelante, seule cette dernière peut en être l'auteur. L’appelante a agi intentionnellement, sachant pertinemment que l'intimé n’avait pas la moindre idée de la portée de ces documents qu’il aurait refusé de signer autrement. Le dessein spécial doit également être admis sous la forme d’un avantage illicite, dans la mesure où l’établissement de ces documents devait permettre à l’appelante d'obtenir illicitement des prestations financières de la part de l'intimé dans le cadre de la procédure de divorce. Au vu de ce qui précède, le jugement querellé sera confirmé en tant qu’il reconnaît l’appelante coupable de faux dans les titres (art. 251 CP).</w:t>
      </w:r>
    </w:p>
    <w:p>
      <w:r>
        <w:rPr>
          <w:b/>
        </w:rPr>
        <w:t>E. 4.1</w:t>
      </w:r>
    </w:p>
    <w:p>
      <w:r>
        <w:t>A teneur de l'art. 96 ch. 2 al. 1 aLCR, celui qui aura conduit un véhicule automobile en sachant qu'il n'était pas couvert par l'assurance-responsabilité civile prescrite ou qui aurait dû le savoir s'il avait prêté toute l'attention commandée par les</w:t>
      </w:r>
    </w:p>
    <w:p>
      <w:r>
        <w:t>- 16/20 - P/9249/2010 circonstances, sera puni d'une peine privative de liberté de trois ans au plus ou d'une peine pécuniaire. La peine privative de liberté sera cumulée avec une peine pécuniaire.</w:t>
      </w:r>
    </w:p>
    <w:p>
      <w:r>
        <w:t>L'art. 96 ch. 2 al. 2 aLCR prévoit que, dans les cas de peu de gravité, l'auteur sera puni d'une peine pécuniaire.</w:t>
      </w:r>
    </w:p>
    <w:p>
      <w:r>
        <w:t>Aux termes de l'art. 97 ch. 1 al. 2 aLCR, celui qui, malgré une sommation de l'autorité, n'aura pas restitué des permis ou des plaques de contrôle qui n'étaient plus valables ou avaient fait l'objet d'une décision de retrait sera puni d'une peine privative de liberté de trois ans au plus ou d'une peine pécuniaire.</w:t>
      </w:r>
    </w:p>
    <w:p>
      <w:r>
        <w:rPr>
          <w:b/>
        </w:rPr>
        <w:t>E. 4.2</w:t>
      </w:r>
    </w:p>
    <w:p>
      <w:r>
        <w:t>En l'espèce, il est établi - et au demeurant admis - que l'appelante s'est rendue, le 30 décembre 2011, au poste de police de la Servette au volant d'un véhicule immatriculé 5______, muni de plaques d'immatriculation invalidées depuis le 19 mai 2008 et dépourvu d'assurance responsabilité civile. Contrairement à ce que semble invoquer l'appelante, il suffit de conduire une seule fois un véhicule dépourvu d'assurance responsabilité civile et dont les plaques d'immatriculation ont été invalidées pour que les infractions réprimées par les art. 96 ch. 2 al. 1 et 2 et 97 ch. 1 al. 2 aLCR soient réalisées. Cela étant, il ressort des pièces du dossier que l'appelante a conduit plus d'une fois dans les conditions précitées. En effet, selon la déclaration du garage G______ du 11 avril 2012, produite par l'appelante, le véhicule était stationné dans ce garage jusqu'en automne 2011. A cette époque, soit postérieurement à l'invalidation de la plaque de contrôle, il a été récupéré et a, à l'évidence, été conduit de Grèce en Suisse alors que la plaque de contrôle était invalidée et qu'il était dépourvu d'assurance responsabilité civile. Il est par conséquent établi que l'appelante a conduit ce véhicule à plusieurs reprises en violation de l'aLCR. Quant aux déclarations de l'appelante à la police du 5 novembre 2010, elles comportent indiscutablement une erreur s'agissant des véhicules. En effet, il ressort de l'attestation établie par l'OCV le 12 avril 2012 que les plaques de contrôles 4______ avaient été déposées par le garage J______ le 7 octobre 2010, soit antérieurement aux déclarations litigieuses précitées. Or, ces plaques étaient attribuées à la PORSCHE ______, ce qui signifie que c'est bien la PORSCHE ______ - et non le minibus ______ - qui se trouvait alors à Genève. Par conséquent, au vu de ce qui précède, c'est à juste titre que le Tribunal de police a reconnu l'appelante coupable de conduite d'un véhicule non couvert par l'assurance responsabilité civile au sens de l'art. 96 ch. 2 al. 1 et 2 aLCR et de non restitution de permis ou de plaques au sens de l'art. 97 ch. 1 al. 2 aLCR.</w:t>
      </w:r>
    </w:p>
    <w:p>
      <w:r>
        <w:t>- 17/20 - P/9249/2010</w:t>
      </w:r>
    </w:p>
    <w:p>
      <w:r>
        <w:rPr>
          <w:b/>
        </w:rPr>
        <w:t>E. 5</w:t>
      </w:r>
    </w:p>
    <w:p>
      <w:r>
        <w:t>5.1.1. L'appelante a uniquement requis la CPAR de l’acquitter, attaquant le jugement dans son ensemble sans se déterminer de manière expresse quant à la quotité de la peine qui lui avait été infligée. Elle n’a pas pris de conclusions subsidiaires au cas où sa culpabilité serait confirmée, même partiellement. Dans un tel cas, la CPAR dispose d'un plein pouvoir d'examen sur l'entier du jugement et doit par conséquent examiner d'office la quotité de la peine (arrêt du Tribunal fédéral 6B_547/2012 du 26 mars 2013 consid. 3.3).</w:t>
      </w:r>
    </w:p>
    <w:p>
      <w:r>
        <w:t>5.1.2.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5.1.3.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les bénéficiaires</w:t>
      </w:r>
    </w:p>
    <w:p>
      <w:r>
        <w:t>- 18/20 - P/9249/2010 de l'aide sociale, les personnes sans activité professionnelle, celles qui s'occupent du ménage ou encore les étudiants, par exemple (ATF 134 IV 97 consid. 5.2.3 p. 104 ; arrêt du Tribunal fédéral 6B_541/2007 du 13 mai 2008 consid. 5.1).</w:t>
      </w:r>
    </w:p>
    <w:p>
      <w:r>
        <w:rPr>
          <w:b/>
        </w:rPr>
        <w:t>E. 5.2</w:t>
      </w:r>
    </w:p>
    <w:p>
      <w:r>
        <w:t>En l’espèce, la faute de l’appelante est importante. Dans le but de s'enrichir, elle n’a pas hésité à établir deux faux dans les titres, au détriment de son ex-époux, et de les produire dans la procédure de divorce. Elle a également fait montre d'un mépris total pour la législation en matière de circulation routière, en circulant au volant d'un véhicule dépourvu d'assurance responsabilité civile et en ne déposant pas les plaques d'immatriculation invalidées malgré les mises en demeure. Il y a concours d'infractions. L'appelante n'a aucunement collaboré, niant les faits devant la police et le Ministère public, refusant de s'exprimer devant le Tribunal de police, et les contestant encore en appel. Sa prise de conscience du caractère répréhensible de ses actes est inexistante. Le casier judiciaire de l'appelante est vierge, ce qui constitue toutefois un facteur neutre dans la fixation de la peine et n'a donc pas à être pris en considération dans un sens atténuant (ATF 136 IV 1 consid. 2.6.4 p. 3). Au vu de ce qui précède, c'est à juste titre que les premiers juges ont condamné l'appelante à une peine pécuniaire de 120 jours-amende, à CHF 30.- par jour, avec sursis, délai d'épreuve trois ans. En effet, cette sanction est adéquate et correspond à la faute et à la situation personnelle et économique de l’intéressée, de sorte qu’elle sera confirmée. Par ailleurs, en l’absence d’appel du Ministère public, le sursis, dont les conditions sont au demeurant réalisées, est acquis à l’appelante en application de l’interdiction de la reformatio in pejus (art. 391 al. 2 CPP).</w:t>
      </w:r>
    </w:p>
    <w:p>
      <w:r>
        <w:rPr>
          <w:b/>
        </w:rPr>
        <w:t>E. 6</w:t>
      </w:r>
    </w:p>
    <w:p>
      <w:r>
        <w:t>Vu l'issue de la procédure d'appel, les prétentions en indemnisation formulées par A______ sont infondées et doivent être rejetées (art. 429 CPP).</w:t>
      </w:r>
    </w:p>
    <w:p>
      <w:r>
        <w:rPr>
          <w:b/>
        </w:rPr>
        <w:t>E. 7</w:t>
      </w:r>
    </w:p>
    <w:p>
      <w:r>
        <w:t>L'appelante, qui succombe, sera condamnée aux frais de la procédure d'appel (art. 428 CPP), comprenant un émolument de CHF 2'000.- (art. 14 al. 1 let. e du Règlement fixant le tarif des frais en matière pénale [RS/GE ; E 4 10.03]). * * * * *</w:t>
      </w:r>
    </w:p>
    <w:p>
      <w:r>
        <w:t>- 19/20 - P/9249/2010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