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AARP/181/2012 vom 19. Juni 2012</w:t>
      </w:r>
    </w:p>
    <w:p>
      <w:r>
        <w:t>GE Cour de justice, 2012-06-19, FR</w:t>
      </w:r>
    </w:p>
    <w:p>
      <w:r>
        <w:rPr>
          <w:b/>
        </w:rPr>
        <w:t xml:space="preserve">Quelle: </w:t>
      </w:r>
      <w:r>
        <w:t>https://mcp.opencaselaw.ch/entscheid/ge_gerichte_AARP_181_2012</w:t>
      </w:r>
    </w:p>
    <w:p>
      <w:r>
        <w:t>FR: GE_GERICHTE AARP/181/2012 du 19 juin 2012</w:t>
      </w:r>
    </w:p>
    <w:p>
      <w:r>
        <w:t>IT: GE_GERICHTE AARP/181/2012 del 19 giugno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1.2.1 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 la quotité de la peine (let. b). En effet, le cadre des débats est fixé par les conclusions prises par l'appelant dans sa déclaration d'appel. L'absence de conclusions de la déclaration d'appel entraîne l'irrecevabilité de l'appel.</w:t>
      </w:r>
    </w:p>
    <w:p>
      <w:r>
        <w:t>La Chambre limite son examen aux violations décrites dans l'acte d'appel (art. 404 al. 1 CPP), sauf en cas de décisions illégales ou inéquitables (art. 404 al. 2 CPP).</w:t>
      </w:r>
    </w:p>
    <w:p>
      <w:r>
        <w:t>1.2.2 Dans sa déclaration d'appel du 28 février 2012, l'appelant s'est borné à conclure à son acquittement de sorte que les conclusions subsidiaires en réduction de la peine prises dans son mémoire d'appel sont tardives et partant irrecevables.</w:t>
      </w:r>
    </w:p>
    <w:p>
      <w:r>
        <w:rPr>
          <w:b/>
        </w:rPr>
        <w:t>E. 2.1</w:t>
      </w:r>
    </w:p>
    <w:p>
      <w:r>
        <w:t>L'art. 217 al. 1 CP punit, sur plainte, celui qui n'aura pas fourni les aliments ou les subsides qu'il doit en vertu du droit de la famille, quoi qu'il en eût les moyens ou pût les avoir. Le droit de porter plainte appartient aussi aux autorités et aux services désignés par les cantons indépendamment du fait qu'ils soient eux-mêmes lésés ou non concrètement (ATF 119 IV 315 consid. 1b p. 317). Il doit être exercé compte tenu des intérêts de la famille (art. 217 al. 2 CP). Le seul fait que les relations entre époux divorcés soient sereines ne suffit pas à constituer un intérêt de la famille faisant obstacle au droit de porter plainte de l'autorité (ATF 119 IV 315 consid. 2c p. 318).</w:t>
      </w:r>
    </w:p>
    <w:p>
      <w:r>
        <w:t>L'obligation d'entretien est violée, d'un point de vue objectif, lorsque le débiteur ne fournit pas, intégralement, à temps et à disposition de la personne habilitée à la recevoir, la prestation d'entretien qu'il doit en vertu du droit de la famille. Pour déterminer si l'auteur a respecté ou non son obligation d'entretien, il ne suffit pas de constater l'existence d'une obligation d'entretien résultant du droit de la famille, mais il faut encore en déterminer l'étendue. La capacité économique de l’auteur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w:t>
      </w:r>
    </w:p>
    <w:p>
      <w:r>
        <w:t>- 6/9 - P/2067/2011 d'entretien que s'il avait les moyens de la remplir, ou aurait pu les avoir. Par là, on entend celui qui ne dispose pas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w:t>
      </w:r>
    </w:p>
    <w:p>
      <w:r>
        <w:rPr>
          <w:b/>
        </w:rPr>
        <w:t>E. 2.2</w:t>
      </w:r>
    </w:p>
    <w:p>
      <w:r>
        <w:t>En l'espèce, l'appelant a admis ne pas s'être acquitté pendant la période pénale de son obligation légale, limitant ses versements à quatre fois CHF 500.-, en raison d'un manque de moyens financiers allégué. L'appelant soutient que le Tribunal de police n'a pas tenu compte de ses revenus cumulés en 2010 et qui ont baissé par rapport à ceux de 2008. Il est vrai que ses revenus ont diminué en 2010. Toutefois, à supposer même que cette réduction soit due à une période de crise subie par les chauffeurs de taxi à Genève, l'appelant ne prouve pas avoir fourni tous les efforts nécessaires pour améliorer sa situation et</w:t>
      </w:r>
    </w:p>
    <w:p>
      <w:r>
        <w:t>- 7/9 - P/2067/2011 pouvoir s'acquitter de ses obligations. Il aurait pu penser à quitter sa condition d'indépendant pour prendre une place de salarié dans le domaine qui est le sien et s'assurer ainsi un salaire régulier. S'il ne peut effectuer un vrai plein temps faute de travail, il aurait aussi pu compléter son activité principale par un emploi accessoire qui pouvait à tout le moins combler le déficit de ses revenus. Il n'allègue pas avoir eu des problèmes de santé ou d'autres motifs constituant des empêchements absolus de travailler. L'appelant aurait également pu diminuer son loyer. Il aurait dû songer à d'autres solutions, telles qu'une sous-location ou une colocation qui n'impliquent pas des conditions aussi strictes de solvabilité que des contrats de baux à loyer, sans se limiter à l'inscription, selon ses dires, dans la gérance immobilière. Finalement, l'appelant avait l'occasion de requérir la modification du jugement sur mesures protectrices de l'union conjugale, mais n'en a rien fait. Là encore, l'appelant n'a pas fait preuve de tous les efforts qui peuvent être raisonnablement exigés de lui. L'appelant a ainsi fait preuve d'une certaine désinvolture à l'égard de ses obligations familiales en subissant depuis plus de deux ans une situation financière qu'il dit décroissante sans pour autant réagir par tous les moyens possibles alors qu'il aurait pu être en mesure d'augmenter ses revenus par une activité de salarié, ou accessoire, ou encore réduire ses charges en optant pour une autre solution que celle de loger à l'hôtel. Force est dès lors de constater qu'il a manqué à ses obligations durant l'ensemble de la période pénale. L’appelant a ainsi été reconnu à juste titre coupable d’infraction à l’art. 217 CP. Le jugement querellé sera confirmé.</w:t>
      </w:r>
    </w:p>
    <w:p>
      <w:r>
        <w:rPr>
          <w:b/>
        </w:rPr>
        <w:t>E. 3</w:t>
      </w:r>
    </w:p>
    <w:p>
      <w:r>
        <w:t>L'appelant, qui succombe, supportera les frais de la procédure envers l'État (art. 428 CPP), comprenant un émolument de CHF 500.- (art. 14 al. 1 let. e du règlement fixant le tarif des frais en matière pénale, E 4 10.03).</w:t>
      </w:r>
    </w:p>
    <w:p>
      <w:r>
        <w:t>* * * * *</w:t>
      </w:r>
    </w:p>
    <w:p>
      <w:r>
        <w:t>- 8/9 - P/2067/2011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