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AARP/180/2020 vom 20. Mai 2020</w:t>
      </w:r>
    </w:p>
    <w:p>
      <w:r>
        <w:t>GE Cour de justice, 2020-05-20, FR</w:t>
      </w:r>
    </w:p>
    <w:p>
      <w:r>
        <w:rPr>
          <w:b/>
        </w:rPr>
        <w:t xml:space="preserve">Quelle: </w:t>
      </w:r>
      <w:r>
        <w:t>https://mcp.opencaselaw.ch/entscheid/ge_gerichte_AARP_180_2020</w:t>
      </w:r>
    </w:p>
    <w:p>
      <w:r>
        <w:t>FR: GE_GERICHTE AARP/180/2020 du 20 mai 2020</w:t>
      </w:r>
    </w:p>
    <w:p>
      <w:r>
        <w:t>IT: GE_GERICHTE AARP/180/2020 del 20 maggio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L'art. 123 CP réprime les lésions du corps humain ou de la santé qui ne peuvent être qualifiées de graves au sens de l'art. 122 CP. Pour justifier la qualification de lésions corporelles, l'atteinte doit revêtir une certaine importance.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w:t>
      </w:r>
    </w:p>
    <w:p>
      <w:r>
        <w:t>- 7/16 - P/16858/2017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rPr>
          <w:b/>
        </w:rPr>
        <w:t>E. 2.2</w:t>
      </w:r>
    </w:p>
    <w:p>
      <w:r>
        <w:t>La rixe au sens de l’art. 133 CP est une altercation physique réciproque entre au moins trois personnes qui y participent activement et qui a pour effet d'entraîner le décès d'une personne ou une lésion corporelle.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 p. 151 ; 106 IV 246 consid. 3e p. 252 ; arrêts du Tribunal fédéral 6B_1348/2016 du 27 janvier 2017 consid. 1.1.1 ; 6B_1154/2014 du 31 mai 2016 consid. 1.1). Pour être punissable en vertu de l'art. 133 CP, il n'est pas nécessaire que celui qui a pris part à la rixe ait lui-même causé la lésion. Le fait d'occasionner la mort ou des lésions corporelles est sanctionné séparément, en concours avec l'art. 133 CP, s'il est possible d'identifier celui qui a causé ce résultat (ATF 118 IV 227 consid. 5b p. 229) et son identification n'exclut pas que les autres participants soient punissables pour rixe. Celui qui quitte une rixe avant que la lésion ne soit causée est punissable au motif qu'il a contribué à stimuler la combativité des participants (cf. ATF 106 IV 246 consid. 3d p. 251 s.), tout comme celui qui ne participe qu'après la lésion (ATF 139 IV 168 consid. 1.1.4). L'art. 133 CP constitue un délit de mise en danger qui n'exige aucun lien entre les agissements du prévenu et la lésion et rend punissable celui qui participe, indépendamment du fait qu'il a causé d'une manière ou d'une autre la lésion. Celui qui prend une part active à une altercation avant l'intervention d'une troisième personne, puis qui se comporte de manière passive uniquement, participe à une rixe. Une altercation entre deux personnes devient une rixe lorsqu'une troisième intervient. Si l'enchaînement direct des événements commande de considérer les faits incriminés comme une unité, celui qui déclenche une rixe doit donc également être considéré comme un participant à celle-ci au sens de l'art. 133 al. 1 CP. Il n'est pas déterminant qu'il prenne une part active avant l'intervention d'une troisième personne à l'altercation, puis qu'il se comporte de manière passive uniquement. Il n’en va autrement lorsque le déroulement des faits peut se diviser clairement en plusieurs unités d'action (ATF 137 IV 1 consid. 4.3.1 p. 5).</w:t>
      </w:r>
    </w:p>
    <w:p>
      <w:r>
        <w:t>- 8/16 - P/16858/2017 La loi prévoit toutefois un fait justificatif spécial en ce sens que n'est pas punissable l'adversaire qui n'accepte pas le combat et se borne à repousser une attaque, à défendre autrui ou à séparer les combattants (art. 133 al. 2 CP).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131 IV 150 consid. 2.1.2 p. 153 ; ATF 106 IV 246 consid. 3e p. 252 ; arrêts du Tribunal fédéral 6B_1348/2016 du 27 janvier 2017 consid. 1.1.2 ; 6B_407/2016 du 28 juin 2016 consid. 4.3). En revanche, quand une personne a une attitude active mais purement défensive ou de séparation, c'est-à-dire distribue des coups, mais exclusivement pour se protéger, défendre autrui ou séparer les combattants, on a alors affaire à une rixe (ATF 94 IV 105). Dans ce sens, la jurisprudence a précisé que du moment où la loi accorde l'impunité à celui qui s'est borné à se défendre, elle admet qu'il est aussi un participant au sens de l'art. 133 CP (ATF 106 IV 246 consid. 3e p. 252). Cette personne peut toutefois bénéficier de l'impunité prévue par l'art. 133 al. 2 CP, puisque, par son comportement, elle s'est bornée à défendre sa personne ou autrui ou à séparer les combattants (ATF 131 IV 150 consid. 2.1.2 p. 153 ; arrêt du Tribunal fédéral 6B_407/2016 du 28 juin 2016 consid. 4.3).</w:t>
      </w:r>
    </w:p>
    <w:p>
      <w:r>
        <w:rPr>
          <w:b/>
        </w:rPr>
        <w:t>E. 2.3</w:t>
      </w:r>
    </w:p>
    <w:p>
      <w:r>
        <w:t>Quiconque, de manière contraire au droit, est attaqué ou menacé d'une attaque imminente a le droit de repousser l'attaque par des moyens proportionnés aux circonstances ; le même droit appartient aux tiers (art. 15 CP).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 arrêts du Tribunal fédéral 6B_600/2014 du 23 janvier 2015 consid. 5.1 non publié in ATF 141 IV 61 ; 6B_632/2011 du 19 mars 2012 consid. 2.1). Celui qui est visé par une attaque imminente à son intégrité n'a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w:t>
      </w:r>
    </w:p>
    <w:p>
      <w:r>
        <w:t>- 9/16 - P/16858/2017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arrêts du Tribunal fédéral 6B_6/2017 du 28 février 2018 consid. 4.1 ; 6B_585/2016 du 7 décembre 2016 consid. 3.3), ni le fait de prévoir l'attaque et de s'y préparer, sans toutefois y inciter (ATF 102 IV 228 consid. 2 p. 230).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p. 51 ; ATF 102 IV 65 consid. 2a p. 68 ; ATF 101 IV 119 p. 120). La proportionnalité des moyens de défense se détermine d'après la situation de celui qui voulait repousser l'attaque au moment où il a agi (ATF 136 IV 49 consid. 3.2 p. 51). Il convient également de prendre en compte ses capacités individuelles. Le moyen de défense employé doit être le moins dommageable possible pour l'assaillant, tout en devant permettre d'écarter efficacement le danger (ATF 136 IV 49 consid. 4.2 p. 53 ; ATF 107 IV 12 consid. 3b p. 15). Doivent aussi être pris en considération les effets de l'acte de défense et l'état dans lequel se trouvait celui qui s'est défendu au moment des faits (ATF 99 IV 187 p. 189).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ATF 107 IV 12 consid. 3 p. 15 ; ATF 102 IV 65 consid. 2a p. 68 ; arrêts du Tribunal fédéral 6B_130/2017 du 27 février 2018 consid. 3.1 et les références = SJ 2018 I 385 ; 6B_6/2017 du 28 février 2018 consid. 4.1). 2.4.1. Le déroulement des faits de la présente cause permet en l’espèce de retenir que l’appelant a bel et bien infligé le premier un coup au visage de son interlocuteur, dans un contexte de dispute verbale alors qu’il était sous l’influence de l’alcool. S’il est établi que l’appelant est intervenu alors que l’intimé insistait lourdement auprès</w:t>
      </w:r>
    </w:p>
    <w:p>
      <w:r>
        <w:t>- 10/16 - P/16858/2017 de deux de ses amies, il n’en demeure pas moins que son intervention a dégénéré et qu’au lieu de calmer les choses, il s’est manifestement également emporté. Le fait que son interlocuteur le pousse – selon les propres termes de l’appelant – démontre qu’il s’est trouvé, au fil de la discussion, dans une grande proximité de celui-ci, ce qui ne correspond pas à la position d’apaisement qu’il prétend avoir adoptée et qui aurait impliqué qu’il garde ses distances. Si son intervention était au départ bien intentionnée, il lui incombait, face à la forte réaction de son interlocuteur – à laquelle il devait s’attendre au vu de ses remontrances verbales – à tout le moins de s’abstenir d’envahir sa sphère privée en se tenant à proximité immédiate de lui. Dans ce contexte, la légitime défense n’entre pas en ligne de compte, l’appelant ayant manifestement contribué à l’escalade verbale et provoqué son interlocuteur, s’échauffant mutuellement. Les circonstances ne permettent pas de retenir la légitime défense. Le comportement de son adversaire vis-à-vis des deux jeunes femmes ne fondait, au surplus, aucune légitime défense, ce qui n’est d’ailleurs et à raison pas plaidé. Les lésions occasionnées, et constatées par le CURML, confirment par ailleurs la qualification de lésion corporelle. Il importe peu à cet égard que le lésé n’ait pas fait valoir d’autre certificat ni ne se soit plaint de douleurs persistantes : les croutes constatées au niveau buccal, qui impliquent une rupture des vaisseaux sanguins, suffisent à écarter la simple voie de fait. La chute de la victime à réception du coup confirme pour le surplus que celui-ci a été porté avec une indéniable force. Le verdict de culpabilité de lésions corporelles simples doit en conséquence être confirmé. 2.4.2. La suite du déroulement des faits conduit également à la confirmation du verdict de rixe. Comme rappelé ci-dessus, le fait que le troisième protagoniste n’ait pas été présent au début de la bagarre ne modifie pas cette qualification, les faits ne pouvant se découper en séquences séparées mais s’étant enchainés sans interruption. Par ailleurs, l’appelant ne s’est pas contenté de repousser une attaque – étant rappelé qu’il a porté le premier coup – mais a bien activement participé à la bagarre. Même si les images de vidéosurveillance – de qualité médiocre – ne permettent pas de distinguer s’il porte des coups à ses adversaires, il se dirige clairement vers eux, ce qui ne reflète pas une attitude passive mais bien un comportement actif, étant pour le surplus rappelé que la scène n’est pas filmée en intégralité, seule la fin de la bagarre apparaissant dans le champ de la caméra. Il doit néanmoins être tenu compte du fait que, même s’il s’agit d’une rixe au vu du comportement de l’appelant, les deux autres protagonistes ont clairement pris le dessus et se sont acharnés sur lui, lui occasionnant des lésions autrement plus graves que celles qu’ils ont subies. S’il ne s’est pas contenté de repousser l’attaque ou de séparer les protagonistes, et ne peut pas se prévaloir de l’art. 133 al. 2 CP, le rôle de</w:t>
      </w:r>
    </w:p>
    <w:p>
      <w:r>
        <w:t>- 11/16 - P/16858/2017 l’appelant dans la rixe doit être qualifié de moins important que celui des deux autres participants ; il doit néanmoins aussi être tenu compte du fait qu’il a initié la bagarre.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Dans l'exercice de son pouvoir d'appréciation, le juge doit respecter, en particulier, le principe d'égalité de traitement (art. 8 al. 1 Cst. féd.; ATF 135 IV 191 consid. 3.2), notamment lorsque plusieurs accusés comparaissent devant le même tribunal à raison des mêmes faits.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- 12/16 - P/16858/2017 Cette disposition ne prévoit aucune exception. Le prononcé d'une peine unique dans le sens d'un examen global de tous les délits à juger n'est pas possible (ATF 144 IV 217 consid. 3.5.4 ; 144 IV 313 consid. 1.1.2).</w:t>
      </w:r>
    </w:p>
    <w:p>
      <w:r>
        <w:rPr>
          <w:b/>
        </w:rPr>
        <w:t>E. 3.3</w:t>
      </w:r>
    </w:p>
    <w:p>
      <w:r>
        <w:t>En l’espèce, la faute de l’appelant n’est pas négligeable. Il a initié la bagarre, en portant le premier coup dans une dispute verbale. S’il a agi initialement dans le but de mettre un terme à ce qui apparaissait à ses yeux un comportement inadéquat, il l’a fait de façon maladroite voire provocante, peut-être sous l’effet de l’alcool. Sa situation personnelle ne présente aucune particularité, étant relevé que son expérience dans les milieux de la sécurité dont il se prévaut aurait dû le dissuader d’intervenir de la manière dont il l’a fait. Il a subi des conséquences dans sa santé, dont il affirme qu’elles persistent à ce jour, sans toutefois produire de certificat médical récent à l’appui de ses dires. Les faits reprochés se sont déroulés sur un bref laps de temps, et l’appelant, s’il a toujours nié sa propre responsabilité, rejetant la faute sur les deux autres prévenus, a néanmoins collaboré aux investigations et admis une partie des faits, sinon leur motivation. Son unique antécédent n’est pas spécifique et relativement ancien. Les deux infractions en concours, qui sont concomitantes, sont d’égale importance dans la fixation de la peine. Les deux autres participants à la rixe ont été sanctionnées par des peines de 90 jours- amende, respectivement 120 pour celui qui a également commis une infraction LCR en concours. Comme il l’a été relevé ci-dessus, la faute de l’appelant est moindre que celle de ses co-prévenus, même s’il lui est reproché un concours d’infractions. Tout bien pesé, et essentiellement compte tenu de la comparaison avec la peine prononcée à l’égard des deux autres protagonistes, la peine fixée par le premier juge apparait trop sévère. Une peine pécuniaire de 40 jours-amende est plus adéquate et proportionnée aux circonstances de l’espèce. Le prononcé d’une peine pécuniaire et le bénéfice du sursis sont acquis à l’appelant et au surplus conformes au droit. Le délai d’épreuve du sursis sera réduit à deux ans pour tenir compte de sa faute moindre.</w:t>
      </w:r>
    </w:p>
    <w:p>
      <w:r>
        <w:rPr>
          <w:b/>
        </w:rPr>
        <w:t>E. 4</w:t>
      </w:r>
    </w:p>
    <w:p>
      <w:r>
        <w:t>L’appelant, qui succombe pour l’essentiel, supportera trois-quarts des frais de la procédure, le solde restant à la charge de l'Etat (art. 428 CPP).</w:t>
      </w:r>
    </w:p>
    <w:p>
      <w:r>
        <w:t>Le verdict de culpabilité étant confirmé dans son intégralité, seule la peine étant réduite, l’appelant supportera les frais de la première instance (art. 428 al. 3 CPP), sous réserve de l’émolument complémentaire de jugement qui sera laissé, à raison de la moitié, à la charge de l’Etat.</w:t>
      </w:r>
    </w:p>
    <w:p>
      <w:r>
        <w:t>- 13/16 - P/16858/2017</w:t>
      </w:r>
    </w:p>
    <w:p>
      <w:r>
        <w:rPr>
          <w:b/>
        </w:rPr>
        <w:t>E. 5.1</w:t>
      </w:r>
    </w:p>
    <w:p>
      <w:r>
        <w:t>Selon l'art. 135 al. 1 CPP, le défenseur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5.2</w:t>
      </w:r>
    </w:p>
    <w:p>
      <w:r>
        <w:t>En l’occurrence, dans l’état de frais produit par le conseil de l’appelant, la durée consacrée à la rédaction du mémoire d’appel est exagérée, s’agissant d’un dossier connu par l’avocat d’office pour l’avoir plaidé en première instance après avoir assisté son mandant pendant l’instruction au MP. Seules deux conférences seront retenues, la troisième apparaissant superflue. Enfin, la lecture du jugement entrepris et la confection d’un chargé de pièces sont des activités couvertes par la majoration forfaitaire qui ne donnent pas lieu à indemnisation supplémentaire.</w:t>
      </w:r>
    </w:p>
    <w:p>
      <w:r>
        <w:t>Tout compte fait, une durée globale de huit heures pour la procédure d’appel apparait adéquate.</w:t>
      </w:r>
    </w:p>
    <w:p>
      <w:r>
        <w:t>En conclusion, l'indemnité sera arrêtée à CHF 1'920.- correspondant à huit heures d'activité au tarif de CHF 200.-/heure plus la majoration forfaitaire de 20%. * * * * *</w:t>
      </w:r>
    </w:p>
    <w:p>
      <w:r>
        <w:t>- 14/16 - P/16858/2017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