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AARP/179/2023 vom 22. Mai 2023</w:t>
      </w:r>
    </w:p>
    <w:p>
      <w:r>
        <w:t>GE Cour de justice, 2023-05-22, FR</w:t>
      </w:r>
    </w:p>
    <w:p>
      <w:r>
        <w:rPr>
          <w:b/>
        </w:rPr>
        <w:t xml:space="preserve">Quelle: </w:t>
      </w:r>
      <w:r>
        <w:t>https://mcp.opencaselaw.ch/entscheid/ge_gerichte_AARP_179_2023</w:t>
      </w:r>
    </w:p>
    <w:p>
      <w:r>
        <w:t>FR: GE_GERICHTE AARP/179/2023 du 22 mai 2023</w:t>
      </w:r>
    </w:p>
    <w:p>
      <w:r>
        <w:t>IT: GE_GERICHTE AARP/179/2023 del 22 maggio 2023</w:t>
      </w:r>
    </w:p>
    <w:p>
      <w:pPr>
        <w:pStyle w:val="Heading2"/>
      </w:pPr>
      <w:r>
        <w:t>Erwägungen</w:t>
      </w:r>
    </w:p>
    <w:p>
      <w:r>
        <w:rPr>
          <w:b/>
        </w:rPr>
        <w:t>E. 1</w:t>
      </w:r>
    </w:p>
    <w:p>
      <w:r>
        <w:t>Les appels sont recevables pour avoir été interjetés et motivés selon la forme et dans les délais prescrits (art. 398, 399, 400 al. 3 let. b et 401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w:t>
      </w:r>
    </w:p>
    <w:p>
      <w:r>
        <w:t>- 13/33 - P/23634/2020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L'appréciation du résultat d'une expertise officielle relève de l'appréciation des preuves par le juge pénal (ATF 141 IV 305 consid. 6.6.1 ; arrêts du Tribunal fédéral 6B_1271/2021 du 12 septembre 2022 consid. 1.2 ; 6B_755/2021 du 1er juin 2022 consid. 1.1.1). Celui-ci n'est pas formellement lié par une expertise officielle ; toutefois, il ne peut s'écarter de celle-ci que s'il existe des indices importants qui en ébranlent sérieusement la crédibilité (ATF 146 IV 116 consid. 2.1 ; 142 IV 49 consid. 2.1.3 ; 141 IV 369 consid. 6.1 ; arrêt du Tribunal fédéral 6B_1271/2021 du 12 septembre 2022 consid. 1.2).</w:t>
      </w:r>
    </w:p>
    <w:p>
      <w:r>
        <w:rPr>
          <w:b/>
        </w:rPr>
        <w:t>E. 3.1</w:t>
      </w:r>
    </w:p>
    <w:p>
      <w:r>
        <w:t>Selon l'art. 111 CP, est coupable de meurtre celui qui a intentionnellement tué une personne, pour autant que les conditions prévues aux articles suivants ne soient pas réalisées. Selon l'art. 117 CP, est coupable d'homicide celui qui, par négligence, a causé la mort d'une personne.</w:t>
      </w:r>
    </w:p>
    <w:p>
      <w:r>
        <w:t>Les éléments constitutifs objectifs de ces deux infractions sont similaires. L'auteur doit avoir réalisé un comportement (1) qui est la cause (2) de la mort de la victime (3) (pour le meurtre : M. DUPUIS / L. MOREILLON / C. PIGUET / S. BERGER / M. MAZOU / V. RODIGARI [éds], Code pénal - Petit commentaire, 2ème éd., Bâle 2017, n. 3 ad art. 111 ; pour l'homicide par négligence : ATF 122 IV 45 consid. 3 ; arrêts du Tribunal fédéral 6B_244/2019 du 10 avril 2019 consid. 2.2 ; 6B_551/2018 du 27 juillet 2018 consid. 2.1 ; 6B_1371/2017 du 22 mai 2018 consid. 1.1).</w:t>
      </w:r>
    </w:p>
    <w:p>
      <w:r>
        <w:rPr>
          <w:b/>
        </w:rPr>
        <w:t>E. 3.2</w:t>
      </w:r>
    </w:p>
    <w:p>
      <w:r>
        <w:t>En revanche, ces infractions diffèrent quant à leur élément constitutif subjectif. L'auteur commet un meurtre s'il désire la mort de la victime (dol direct) ou s'il l'accepte au cas où celle-ci se produirait (dol éventuel) (cf. art. 11 al. 2 CP). En revanche, si l'auteur ne se rend pas compte des conséquences mortelles de son comportement mais que cette imprévoyance est coupable, l'auteur commet un homicide par négligence (cf. art. 11 al. 3 CP).</w:t>
      </w:r>
    </w:p>
    <w:p>
      <w:r>
        <w:t>Deux conditions doivent être remplies pour qu'il existe une négligence. D'une part le comportement de l'auteur doit violer les règles de la prudence, c'est-à-dire le devoir général de diligence qui interdit de mettre en danger les biens d'autrui pénalement</w:t>
      </w:r>
    </w:p>
    <w:p>
      <w:r>
        <w:t>- 14/33 - P/23634/2020 protégés contre les atteintes involontaires ; un comportement dépassant les limites du risque admissible viole le devoir de prudence s'il apparaît qu'au moment des faits, une personne raisonnable placée dans la même situation aurait dû, compte tenu de ses connaissances et de ses capacités, se rendre compte qu'il mettait le bien juridique du lésé en danger (ATF 148 IV 39 consid. 2.3.3 ; 145 IV 154 consid. 2.1 ; 143 IV 138 consid. 2.1 ; 135 IV 56 consid. 2.1 ; 134 IV 255 consid. 4.2.3). D'autre part, le comportement constituant une violation du devoir général de prudence doit lui-même être fautif ; autrement dit, il faut en principe qu'il soit lui-même réalisé intentionnellement et puisse ainsi être considéré comme une inattention ou un manque d'effort blâmable (ATF 145 IV 154 consid. 2.1 ; 134 IV 255 consid. 4.2.3 ; 133 IV 158 consid. 5.1 ; 129 IV 119 consid. 2.1).</w:t>
      </w:r>
    </w:p>
    <w:p>
      <w:r>
        <w:t>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 133 IV 222 consid. 5.3 ; 133 IV 1 consid. 4.1 ; 130 IV 58 consid. 8.4).</w:t>
      </w:r>
    </w:p>
    <w:p>
      <w:r>
        <w:rPr>
          <w:b/>
        </w:rPr>
        <w:t>E. 3.3</w:t>
      </w:r>
    </w:p>
    <w:p>
      <w:r>
        <w:t>Lorsque le décès de la victime est intentionnel, il suffit qu'il existe entre le comportement de l'auteur et la mort de la victime un lien de causalité naturelle (ATF 143 IV 330 consid. 2.5). En revanche, lorsque la mort de la victime résulte d'une négligence de l'auteur, son comportement doit être la cause non seulement naturelle, mais aussi adéquate du décès (ATF 130 IV 7 consid. 3.2).</w:t>
      </w:r>
    </w:p>
    <w:p>
      <w:r>
        <w:t>Un comportement constitue la cause naturelle d'un résultat dommageable s'il en constitue une des conditions sine qua non ; il n'est pas nécessaire que l'événement considéré soit la cause unique ou immédiate du résultat (ATF 143 III 242 consid. 3.7 ; 142 IV 237 consid. 1.5.1 ; 135 IV 56 consid. 2.1 ; 133 IV 158 consid. 2.1). L'existence ou l'absence de la causalité naturelle entre deux évènements est une question de fait qui est soumise au degré de preuve de la haute vraisemblance (ou vraisemblance prépondérante) (ATF 135 IV 56 consid. 2.2 ; 133 III 462 consid. 4.4.2 ; 133 IV 158 consid. 6.1 ; 130 IV 7 consid. 3.2).</w:t>
      </w:r>
    </w:p>
    <w:p>
      <w:r>
        <w:t>Un comportement constitue la cause adéquate d'un résultat dommageable lorsque ledit comportement est propre, d'après le cours ordinaire des choses et l'expérience générale de la vie, à entraîner un résultat du genre de celui qui s'est produit ; il n'est pas nécessaire que le résultat en cause se produise régulièrement ou fréquemment</w:t>
      </w:r>
    </w:p>
    <w:p>
      <w:r>
        <w:t>- 15/33 - P/23634/2020 dans de telles circonstances mais il doit demeurer dans le champ raisonnable des possibilités objectivement prévisibles (ATF 145 III 72 consid. 2.3.1 ; 144 IV 285 consid. 2.8.2 ; 143 III 242 consid. 3.7 ; 142 IV 237 consid. 1.5.2 ; 138 IV 57 consid. 4.3.1). La causalité adéquate peut en outre être interrompue par un événement extraordinaire auquel on ne pouvait s'attendre et qui revêt une importance telle qu'il s'impose comme la cause la plus immédiate du résultat et relègue à l'arrière-plan les autres facteurs ayant contribué à provoquer celui-ci – y compris le comportement imputable au prévenu (ATF 146 III 387 consid. 6.3.1 ; 142 IV 237 consid. 1.5.2 ; 135 IV 56 consid. 2.1 ; 134 IV 255 consid 4.4.2). Un état de santé déficient ou une prédisposition chez une victime ne constitue en principe pas une circonstance propre à rompre un lien de causalité adéquate (ATF 131 IV 145 consid. 5.1 ; arrêts du Tribunal fédéral 6B_922/2018 du 9 janvier 2020 consid. 4.3.1 ; 6B_466/2016 du 23 mars 2017 consid. 3.4.3).</w:t>
      </w:r>
    </w:p>
    <w:p>
      <w:r>
        <w:rPr>
          <w:b/>
        </w:rPr>
        <w:t>E. 4</w:t>
      </w:r>
    </w:p>
    <w:p>
      <w:r>
        <w:t>4.1.1. En l'occurrence, les versions des quatre témoins divergent quant aux circonstances précises ayant mené à la chute de la victime.</w:t>
      </w:r>
    </w:p>
    <w:p>
      <w:r>
        <w:t>Les témoins Q______ et R______ n'ont pas fait mention d'une césure dans la confrontation ayant opposé l'appelant à la victime. Selon leurs souvenirs, les protagonistes s'étaient disputés tout en se déplaçant sur les voies de tram puis le trottoir devant U______. Ces deux témoins et le témoin S______ ont en outre clairement mentionnés que les protagonistes étaient très proches l'un de l'autre jusqu'avant la chute de G______. Tous trois ont aussi confirmé que l'appelant avait bondi et violemment poussé la victime avec le haut de son corps, soit avec ses mains, R______ et S______ ayant évoqué une poussée au niveau du torse. Ce déroulement des faits ne correspond pas à celui avancé par le témoin T______ qui a mentionné une prise d'élan de l'appelant suivie d'un coup de pied droit ("chassé"). Les témoignages de Q______ et de R______ juste après les faits doivent être considérés comme ayant une force probante particulière, d'autant qu'aucun des deux n'avait connaissance de l'issue fatale où moment où il a déposé. Q______ était en outre située à environ un mètre du lieu de la chute et avait donc, sans nul doute, une vision particulièrement claire des évènements. Il convient donc d'écarter la version différente avancée par le témoin T______, d'autant que celui-ci a admis ne pas avoir vu le coup de pied qu'il estimait avoir été porté à la victime. Un tel coup de pied n'est en outre pas compatible avec la chute de l'appelant sur la victime, soit vers l'avant. De même, le témoin S______ a dit que les protagonistes s'étaient séparés avant que l'appelant ne revînt subitement à la charge, mais a aussi précisé que son attention avait à ce moment-là été détournée par un tiers, de sorte que cette version est clairement moins vraisemblable que celle d'un affrontement constant décrites par les témoins Q______ et R______.</w:t>
      </w:r>
    </w:p>
    <w:p>
      <w:r>
        <w:t>Les témoins Q______, R______ et S______ ont décrit la chute de la victime comme lourde, la première décrivant celle-ci comme la chute d'"un bout de bois, quelque chose de pas vivant". Quant à T______, il a mentionné que la victime était tombée</w:t>
      </w:r>
    </w:p>
    <w:p>
      <w:r>
        <w:t>- 16/33 - P/23634/2020 "d'un coup". Q______ et R______ ont également fait mention d'un contact initial des fesses de la victime avec le sol avant que sa tête heurtât le trottoir sans que ladite victime n'eût agi pour amortir sa chute. Par ailleurs, l'ensemble des témoins a clairement mentionné que l'appelant était tombé sur la victime. Sur ces points, les déclarations concordantes emportent la conviction. Au contraire, la version du témoin R______ selon laquelle l'appelant allait s'en prendre à la victime se trouvant inconsciente au sol au moment où il était intervenu manu militari n'est pas corroborée par un autre témoin et doit donc être écartée comme non-suffisamment établie. Cela vaut d'autant plus que cette version est le fait de la personne intervenue et qu'il existait donc un intérêt compréhensible de R______ à exagérer postérieurement la menace que représentait l'appelant pour légitimer ladite intervention musclée à l'encontre d'une personne venant de mettre à terre une de ses connaissances. R______ n'avait d'ailleurs mentionné ni la tentative d'acharnement de l'appelant sur la victime au sol, ni son intervention musclée, lors de sa déposition initiale à la police un jour après les faits. S'agissant des substances retrouvées dans le sang de la victime par les toxicologues, les experts ont été formels sur le fait que leur combinaison avait engendré chez G______ un ralentissement psychomoteur sous la forme d'une baisse de ses capacités motrices et de ses réflexes d'équilibre et de coordination. Ce manque d'équilibre a d'ailleurs été remarqué par les témoins qui ont tous souligné qu'il était visible que la victime se déplaçait avec difficultés, Q______ mentionnant un comportement de "quelqu'un qui n'a pas de réflexes" et S______ qu'il titubait et avait le comportement d'une personne alcoolisée ou droguée. Le seul à décrire un comportement normal chez la victime est R______, ce dernier ayant néanmoins précisé qu'elle avait des soucis d'équilibre. Il convient donc de retenir, d'une part, que le manque d'équilibre de la victime était facilement observable au moment des faits et, d'autre part, que les substances retrouvées dans le sang de la victime ont joué un rôle déterminant dans la manière dont elle a chuté. Au vu des caractéristiques physiques respectives des protagonistes au moment des faits, à savoir une masse d'environ 82 kg (pour 182 cm) pour l'appelant et une masse de 126 kg (pour 198 cm) pour la victime, il apparaît hautement improbable que celle-ci aurait chuté sans aucun mécanisme de défense si elle n'avait pas été sous l'influence de ces substances. Comme le souligne à raison la défense, une chute aussi soudaine n'avait d'ailleurs pas été prévue par l'appelant. En effet, R______ a précisé que celui-ci avait été entraîné par son élan et Q______ qu'il avait roulé au sol en tentant d'éviter la victime, ces témoignages emportant la conviction de la Chambre de céans pour les motifs mentionnés précédemment. Par ailleurs, en vertu du principe de la présomption d'innocence, il s'imposerait de toute façon de retenir la version factuelle la plus favorable à l'appelant lorsqu'après appréciation des preuves aucune hypothèse parmi plusieurs possibles ne l'emporterait clairement sur l'autre. Enfin, il convient d'écarter la version ressortant du témoignage de T______ selon laquelle la victime aurait frappé violemment l'appelant au visage. En effet, aucun des</w:t>
      </w:r>
    </w:p>
    <w:p>
      <w:r>
        <w:t>- 17/33 - P/23634/2020 trois autres témoins n'a fait mention d'un tel geste, qui, s'il avait eu lieu, aurait difficilement pu passer inaperçu de Q______, S______ et R______ au vu la différence de carrure entre les protagonistes. En revanche, les invectives réciproques entre ceux-ci, respectivement leur comportement bagarreur ont bien été relevés par les témoins Q______ et S______, R______ ayant également fait mention qu'ils s'étaient battus, tout en précisant que le comportement de G______ se limitait à tenir à distance l'appelant en le repoussant en tendant la main paume ouverte. Au vu ce qui précède, il convient de retenir que les faits se sont déroulés comme suit : Le 7 décembre 2020, vers 15h40, une altercation a éclaté entre l'appelant et la victime lorsque celle-ci a fermement incité le premier à quitter le lieu où il s'était assis, non loin de R______, notamment en tapant trois fois légèrement sur la visière de sa casquette. Il s'en est suivi des invectives réciproques, les deux protagonistes ayant adopté un comportement menaçant sans recourir à la violence physique, tout en se rapprochant peu à peu jusqu'à être très proches l'un de l'autre. À ce moment-là, l'équilibre précaire de la victime était facilement reconnaissable pour l'appelant. Celui-ci a alors volontairement bondi et puissamment poussé le torse de la victime. Du fait de cette poussée et d'un ralentissement psychomoteur engendré par les substances retrouvées dans son sang, la victime a lourdement chuté touchant le sol en béton du trottoir avec les fesses puis avec la tête, sans parvenir à amortir sa chute. L'appelant, emporté par son élan, a également chuté, puis roulé au sol pour tenter d'éviter la victime. Il ne s'est pas acharné sur elle alors qu'elle gisait inconsciente sur le trottoir. 4.1.2. Il ressort clairement des déclarations des experts légistes que la chute de la victime a causé un choc dans sa boîte crânienne, choc qui a engendré une hémorragie et un hématome sous dural gauche intracrânien, lequel a comprimé l'encéphale de G______. En raison de ce grave trouble à la santé immédiatement menaçant pour sa vie, l'équipe médicale a dû procéder à une opération de craniectomie, laquelle constitue une opération de la dernière chance. Les suites de cette intervention médicale ont nécessité une hospitalisation prolongée de la victime aux soins intensifs, hospitalisation qui a contraint le personnel médical à tenter de trouver un équilibre entre les deux risques antagonistes potentiellement fatals qu'étaient le risque hémorragique et le risque de thrombose. Le premier de ces risques s'est matérialisé au 11 janvier 2021, entraînant le décès de la victime deux jours plus tard. Selon les déclarations des Drs V______ et W______, n'importe qui aurait pu faire des thromboses à la suite des interventions médicales d'urgence du 7 décembre 2020 visant à sauver la vie de G______. En outre, le Dr W______ a précisé que la mesure de l'anticoagulant était dans une fourchette conforme à la cible visée d'une anticoagulation à visée thérapeutique le jour où l'hémorragie fatale s'était déclenchée, sans que les prédispositions génétiques dont souffrait le défunt n'aient eu d'influence sur la dose nécessaire.</w:t>
      </w:r>
    </w:p>
    <w:p>
      <w:r>
        <w:t>- 18/33 - P/23634/2020 Au vu de ces déclarations, qu'aucun autre élément de preuve ne permet de mettre en doute, il convient de considérer que la poussée de l'appelant et la chute de la victime qui s'en est suivie sont en lien de causalité naturelle avec le décès de celle-ci ______ 2021, dès lors que ledit décès ne se serait pas produit en leur absence. 4.2.1. Le comportement de l'appelant, à savoir sa forte poussée sur le torse de la victime, a joué un rôle causal dans la mort d'un être humain. Selon l'expérience générale de la vie, le fait qu'une violente poussée vers l'arrière sur une surface bétonnée d'une personne certes massive, mais avec un problème d'équilibre immédiatement observable, ait entraîné la mort ne constitue pas un déroulement des évènements si improbable qu'il faille en conclure que la mort de la victime ne peut raisonnablement être imputée à l'appelant. Autrement dit, il faut considérer qu'il existe une causalité adéquate entre ces deux évènements. De plus, le fait que la victime fût sous l'influence de plusieurs substances ayant eu un effet délétère sur son équilibrioception, n'a pas joué un rôle à ce point prépondérant dans la mort de G______ qu'il mènerait à reléguer à l'arrière-plan le geste de l'appelant, celui-ci ayant au contraire été déterminant dans l'enchaînement fatal des évènements. Quant aux prédispositions génétiques à la formation de caillots de la victime, elles ne sont clairement pas de nature à rompre la causalité adéquate comme cela ressort de la jurisprudence fédérale. Au vu de ce qui précède, l'appelant remplit les éléments constitutifs objectifs des infractions de meurtre et d'homicide par négligence. 4.2.2. Sur le plan subjectif, il ressort de l'appréciation des preuves que l'appelant a tenté d'éviter la victime lorsqu'il a chuté et ne s'est pas acharné sur elle au sol. On peut donc d'emblée exclure qu'il ait eu la volonté de lui ôter la vie, sous la forme d'un dol direct. En revanche, le fait de pousser violemment vers l'arrière sur un sol bétonné une personne ayant ostensiblement des problèmes d'équilibre constitue une violation du devoir général de prudence, un tel comportement étant de nature à provoquer des atteintes à l'intégrité physique de la personne visée, ce que toute personne raisonnable placée dans la situation de l'appelant devait savoir. En outre, la poussée de celui-ci était intentionnelle. Partant, son comportement doit être qualifié pour le moins de négligence coupable. Reste à examiner si ce comportement pourrait relever du dol éventuel. Si, certes, l'appelant aurait pu se rendre compte des difficultés d'équilibre de la victime, il ne pouvait en revanche pas intégrer le ralentissement moteur général induit par les substances retrouvées dans le sang de G______. Au vu des éléments</w:t>
      </w:r>
    </w:p>
    <w:p>
      <w:r>
        <w:t>- 19/33 - P/23634/2020 connus ou devant être connus de l'appelant, la plausibilité que son comportement menât au décès de la victime apparaît faible à très faible. Il n'existait pas de conflit sous-jacent entre eux ou d'historique qui laisserait penser que l'appelant se serait volontiers accommodé du décès de celle-ci. En outre, comme déjà mentionné, l'appelant ne s'est pas acharné sur la victime alors qu'elle se trouvait sans défense au sol. Enfin, s'il est établi que leur dispute a impliqué des invectives, sans menaces explicites de mort, et des postures agressives réciproques, il n'y a pas eu de coups donnés par l'appelant jusqu'au geste qui s'est avéré fatal à la victime. Dans un arrêt AARP/357/2020, la Chambre de céans a écarté le dol éventuel s'agissant d'une tentative de meurtre reprochée à un auteur qui avait frappé la victime au cou avec un tesson de bouteille de petite taille avant de prendre la fuite alors que celle-ci était prise en charge par des tiers (AARP/357/2020 du 29 octobre 2020 consid. 3.6.1). Dans l'affaire ayant donné lieu à l'arrêt du Tribunal fédéral 6B_213/2019, celui-ci a retenu une tentative de meurtre par dol éventuel suite à une violente poussée de l'auteur, mais celle-ci avait la particularité d'avoir projeté la victime sur les rails de la gare principale de Zurich alors qu'un train était immédiatement en approche (arrêt du Tribunal fédéral 6B_213/2019 du 26 août 2019 consid. 4.4). Dans un arrêt AARP/410/2017, la CPAR a exclu un meurtre par dol éventuel s'agissant d'un videur très aguerri aux techniques de combat qui, dans le cadre de son activité professionnelle, avait asséné un coup de tête à la victime, puis deux coups de poing au visage de celle-ci la faisant chuter en arrière avec une issue fatale (AARP/410/2017 du 21 décembre 2017 consid. 2.3.1 et 2.3.2). Enfin, le Tribunal fédéral a retenu la commission de lésions corporelles simples par dol éventuel et de lésions corporelles graves par négligence eu égard à un joueur de hockey sur glace ayant chargé dans le dos à pleine vitesse un autre joueur qui s'apprêtait ostensiblement à tirer au but, le faisant chuter la tête la première sur la glace sans possibilité d'atténuer les conséquences y relatives (ATF 134 IV 26 [du 24 octobre 2007] consid. 3.3.3). Bien que les circonstances de chaque cas d'espèce soient différentes et qu'une comparaison ne doive être effectuée qu'avec retenue, il faut en conclure qu'un dol éventuel de l'appelant portant sur la mort de la victime ne peut être retenu.</w:t>
      </w:r>
    </w:p>
    <w:p>
      <w:r>
        <w:rPr>
          <w:b/>
        </w:rPr>
        <w:t>E. 4.3</w:t>
      </w:r>
    </w:p>
    <w:p>
      <w:r>
        <w:t>En conclusion, l'appelant a réalisé l'ensemble des éléments constitutifs de l'infraction d'homicide par négligence. Partant, c'est à juste titre que le TCO l'a condamné de ce chef. Le jugement querellé doit être confirmé sur ce point et tant l'appel que l'appel joint doivent être rejetés.</w:t>
      </w:r>
    </w:p>
    <w:p>
      <w:r>
        <w:rPr>
          <w:b/>
        </w:rPr>
        <w:t>E. 5</w:t>
      </w:r>
    </w:p>
    <w:p>
      <w:r>
        <w:t>Dans ses conclusions, l'appelant n'a pas contesté sa condamnation pour lésions corporelles graves au sens de l'art. 122 CP. La chambre de céans étant en principe limitée dans son examen par les conclusions des parties (art. 404 al. 1 CPP ; ATF 148 IV 89 consid. 4.3 ; 147 IV 167 consid. 1.5.3) et cette condamnation</w:t>
      </w:r>
    </w:p>
    <w:p>
      <w:r>
        <w:t>- 20/33 - P/23634/2020 n'apparaissant pas inéquitable au sens de l'art. 404 al. 2 CPP, elle doit être considérée comme définitive et prise en compte dans le calcul de la peine.</w:t>
      </w:r>
    </w:p>
    <w:p>
      <w:r>
        <w:rPr>
          <w:b/>
        </w:rPr>
        <w:t>E. 6</w:t>
      </w:r>
    </w:p>
    <w:p>
      <w:r>
        <w:t>6.1.1.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L'art. 47 CP confère un large pouvoir d'appréciation au juge (ATF 144 IV 313 consid. 1.2 ; 135 IV 130 consid. 5.3.1 ; 134 IV 35 consid. 2.1).</w:t>
      </w:r>
    </w:p>
    <w:p>
      <w:r>
        <w:t>6.1.2. Selon l'art. 19 al. 1 CP, l'auteur d'une infraction n'est pas punissable si, au moment d'agir, il ne possédait pas la faculté d'apprécier le caractère illicite de son acte ou de se déterminer d'après cette appréciation. Selon l'alinéa 2 de la même norme, le juge atténue la peine si, au moment d'agir, l'auteur ne possédait que partiellement la faculté d'apprécier le caractère illicite de son acte ou de se déterminer d'après cette appréciation. L'art. 19 CP concerne la faculté d'un auteur de percevoir la réalité ; cette question ne concerne pas les éléments constitutifs d'une infraction mais la culpabilité de l'auteur (ATF 147 IV 193 consid. 1.4.4).</w:t>
      </w:r>
    </w:p>
    <w:p>
      <w:r>
        <w:t>6.1.3.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Une infraction intentionnelle et une infraction par négligence entrent en concours idéal même si elles protègent le même bien juridique (ATF 136 IV 76 consid. 2.7 [concours entre homicide par négligence et mise en danger de la vie d'autrui] ; 134 IV 26 consid. 4.1 [concours entre lésions corporelles graves par négligence et lésions corporelles simples]).</w:t>
      </w:r>
    </w:p>
    <w:p>
      <w:r>
        <w:t>- 21/33 - P/23634/2020</w:t>
      </w:r>
    </w:p>
    <w:p>
      <w:r>
        <w:t>6.2.1. En l'espèce, la culpabilité objective de l'auteur est importante dès lors que son comportement irréfléchi a eu pour conséquence le décès de la victime, l'un des biens juridiques protégés par le droit pénal les plus précieux ; cela même si la gravité de l'acte causal lui-même, à savoir la violente poussée avec les deux mains sur le torse de la victime, est d'une gravité limitée (cf. arrêt du Tribunal fédéral 6B_1288/2016 du 8 novembre 2017 consid. 2). Les motifs de l'appelant étaient futiles et il aurait très bien pu mettre fin à l'altercation sans avoir recours à la violence, notamment en quittant les lieux.</w:t>
      </w:r>
    </w:p>
    <w:p>
      <w:r>
        <w:t>La collaboration de l'appelant à la procédure a été mauvaise, indépendamment de la réalité de son absence de mémoire des faits, et sa prise de conscience est nulle, dès lors qu'il n'a en aucun cas cherché à se remettre en question ou fait preuve d'empathie envers la famille de la victime. Le fait qu'il soit père d'une jeune adolescente ne peut être retenu en sa faveur puisqu'il a quitté sa famille pour vivre une vie d'errance. L'appelant ne prétend d'ailleurs à juste titre pas que les circonstances de sa vie justifieraient son comportement. Il est en enfin connu des autorités pénales européennes pour de nombreux antécédents de vols, ceux-ci étant toutefois de faible importance au vu des peines prononcées Au vu de ce qui précède, il convient de retenir que la peine hypothétique pour l'infraction d'homicide par négligence commise par l'auteur devrait être fixée à 18 mois de peine de privative de liberté. 6.2.2. S'agissant de la responsabilité de l'appelant au moment des faits, le TCO a retenu qu'elle était moyennement restreinte en se basant sur l'opinion des experts. Selon eux, "il faut constater que plusieurs pathologies mentales étaient présentes au moment des faits et ont perturbé, d'une part, légèrement la faculté de l'expertisé à percevoir le caractère illicite des actes reprochés et d'autre part, par leurs effets cumulés, moyennement sa faculté à se déterminer". Les experts ont également noté que l'effet cumulé des troubles psychiatriques durables de l'appelant sur sa faculté de volonté ("faculté volitive") restait limité. Quant à son état momentané d'intoxication alcoolique, en lien avec un taux d'alcool de 2.36 g/kg dans le sang, il diminuait légèrement sa faculté de conscience, respectivement sa faculté de percevoir le caractère illicite de son acte, en conformité avec la jurisprudence (cf. ATF 122 IV 49 consid. 1b ; arrêt du Tribunal fédéral 6B_1307/2021 du 9 janvier 2023 consid. 1.1.1). Il s'agit là de considérations de faits arrêtées par des experts et qu'aucun juste motif ne permet de remettre en doute. Le taux de 2.36 g/kg, qui constitue l'hypothèse la plus favorable à l'appelant, ayant été retenu à juste titre en vertu du principe de la présomption d'innocence dans l'appréciation des preuves. La question de savoir dans quelle mesure les restrictions des facultés de l'appelant limitent sa responsabilité relève en revanche du droit. En l'espèce, au vu des</w:t>
      </w:r>
    </w:p>
    <w:p>
      <w:r>
        <w:t>- 22/33 - P/23634/2020 considérations des experts, il faut retenir que la limitation de responsabilité de l'appelant était moyenne tendant plutôt vers le faible. Sa culpabilité est donc réduite dans la même mesure.</w:t>
      </w:r>
    </w:p>
    <w:p>
      <w:r>
        <w:t>Au vu de ce qui précède, la peine hypothétique fixée à 18 mois de peine de privative de liberté doit être réduite de six mois pour tenir compte de la responsabilité partiellement restreinte de l'appelant, soit une peine privative de liberté hypothétique de 12 mois.</w:t>
      </w:r>
    </w:p>
    <w:p>
      <w:r>
        <w:t>6.2.3. L'appelant a été condamné en première instance tant du chef de lésions corporelles graves commise par dol éventuel que du chef d'homicide par négligence, la peine d'ensemble ayant été fixée à 24 mois. Selon l'art. 122 CP qui punit la commission de lésions corporelles graves, cette infraction est réprimée par une peine privative de liberté allant de six mois à dix ans. Dans le cas d'espèce, les lésions en cause sont constituées par la grave atteinte portée à l'intégrité physique de la victime qui a mis sa vie immédiatement en danger, ce risque s'étant d'ailleurs par la suite matérialisé. L'intégrité corporelle de la victime a donc été atteinte avec une intensité très importante. Les autres éléments pertinents pour l'appréciation de la peine correspondent à ceux examinés plus haut en lien avec la peine liée à l'infraction d'homicide par négligence. Dans une telle situation et sauf circonstances particulières, il n'apparaît pas adéquat de prononcer une peine privative de liberté d'uniquement 18 mois, soit une peine située juste au-dessus du premier décile du cadre de la peine prévu par l'art. 122 CP. Or, il n'existe en l'espèce aucun élément qui permettrait de retenir une peine si faible en dépit d'une culpabilité importante.</w:t>
      </w:r>
    </w:p>
    <w:p>
      <w:r>
        <w:t>Au vu de ce qui précède, la peine hypothétique pour l'infraction de lésions corporelles graves devrait être fixée à 48 mois de peine privative de liberté. Cette peine doit cependant être réduite de 18 mois pour tenir compte de la responsabilité limitée de l'appelant, soit une peine privative de liberté de 30 mois.</w:t>
      </w:r>
    </w:p>
    <w:p>
      <w:r>
        <w:t>6.2.4. Au regard des peines-menaces des infractions commises par l'appelant, la plus grave est celle de lésions corporelles graves. La peine de 30 mois réprimant celle-ci doit donc être accrue d'un total de huit mois en lien avec l'infraction d'homicide par négligence (peine hypothétique de 12 mois) pour obtenir une peine d'ensemble de 38 mois.</w:t>
      </w:r>
    </w:p>
    <w:p>
      <w:r>
        <w:t>En conséquence, l'appelant doit être condamné à une peine privative de liberté de 38 mois, sous déduction des 897 jours de détention avant jugement effectués jusqu'au jour du présent jugement. L'appel joint du MP est bien fondé dans cette mesure.</w:t>
      </w:r>
    </w:p>
    <w:p>
      <w:r>
        <w:t>- 23/33 - P/23634/2020</w:t>
      </w:r>
    </w:p>
    <w:p>
      <w:r>
        <w:t>S'agissant de la violation du principe de célérité invoquée par l'appelant, elle doit être rejetée. En effet, contrairement à ce qu'il affirme, le dernier acte principal d'enquête est constitué par la reddition du rapport complémentaire des médecins légistes du 28 février 2022. Les parties ont ensuite été informées de la clôture prochaine de l'instruction par courrier du 30 mars 2022 et ont disposé d'un délai de 30 jours pour déposer des réquisitions de preuve complémentaires. L'acte d'accusation a été déposé le 1er juin 2022, soit environ un mois plus tard. Dès lors, une violation du principe de célérité est exclue et il n'y a pas lieu, partant, de réduire la peine d'ensemble prononcée à l'encontre de l'appelant.</w:t>
      </w:r>
    </w:p>
    <w:p>
      <w:r>
        <w:rPr>
          <w:b/>
        </w:rPr>
        <w:t>E. 7</w:t>
      </w:r>
    </w:p>
    <w:p>
      <w:r>
        <w:t>7.1.1. Selon l'art. 59 al. 1 CP, lorsque l'auteur souffre d'un grave trouble mental, le juge peut ordonner un traitement institutionnel si celui-ci a commis un crime ou un délit en relation avec ce trouble (let. a) et qu'il est à prévoir que cette mesure le détournera de nouvelles infractions en relation avec ce trouble (let. b). Selon l'art. 56 al. 2 CP, le prononcé d'une mesure suppose que l'atteinte aux droits de la personnalité qui en résulte pour l'auteur ne soit pas disproportionnée au regard de la vraisemblance qu'il commette de nouvelles infractions et de leur gravité. La notion de "trouble mental" selon l'art. 59 al. 1 let. a CP est une notion fonctionnelle en ce sens qu'elle vise tous les comportements pathologiques dont l'infraction commise est un symptôme (ATF 146 IV 1 consid. 3.5.3 ; arrêts du Tribunal fédéral 6B_871/2022 du 15 février 2023 consid. 5.1.2 ; 6B_995/2020 du 5 mai 2021 consid. 4.1.3) ; la notion de "trouble mental" n'englobant en outre pas l'ensemble des personnalités pouvant être considérées socialement comme "déviantes", il est nécessaire que la pathologie en cause ait un impact majeur sur les fonctions psychosociales du prévenu dans sa vie courante, à moins que la pathologie en cause s'exprime par essence au travers de comportements pénalement répréhensibles (ATF 146 IV 1 consid. 3.5.4 ; arrêt du Tribunal fédéral 6B_1143/2021 du 11 mars 2022 consid. 3.2.3).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Un trouble mental peut être grave lorsque le prévenu démontre une combinaison d'anomalies comportementales qui, prises isolément, ne suffiraient pas, mais qui, prises dans leur ensemble, se renforcent en s'influençant mutuellement de remplir les critères juridiques de "grave trouble mental" (ATF 146 IV 1 consid. 3.5.6). La condition selon laquelle il faut qu'il soit à prévoir que la mesure détournera l'auteur de nouvelles infractions en relation avec son trouble mental est réalisée lorsqu'il est suffisamment vraisemblable qu'un traitement institutionnel entraînera dans les cinq ans de sa durée normale une réduction nette du risque de récidive</w:t>
      </w:r>
    </w:p>
    <w:p>
      <w:r>
        <w:t>- 24/33 - P/23634/2020 (ATF 140 IV 1 consid. 3.2.4 ; 134 IV 315 consid. 3.4.1 ; arrêts du Tribunal fédéral 6B_1403/2020 du 5 mai 2021 csonsid. 1.2 ; 6B_995/2020 du 5 mai 2021 consid. 4.1.4 ; 6B_1143/2019 du 31 octobre 2019 consid. 1.1). Le seul fait qu'un auteur se déclare initialement catégoriquement opposé à participer à une mesure thérapeutique institutionnelle ne suffit pas à considérer que celle-ci n'a aucune chance de succès ; il suffit qu'il existe une possibilité qu'un état d'esprit coopératif existe ultérieurement (arrêts du Tribunal fédéral 6B_1221/2021 du 17 janvier 2022 consid. 1.5.2 ; 6B_1287/2017 du 18 janvier 2018 consid. 1.3.3 ; 6B_463/2016 du</w:t>
      </w:r>
    </w:p>
    <w:p>
      <w:r>
        <w:rPr>
          <w:b/>
        </w:rPr>
        <w:t>E. 12</w:t>
      </w:r>
    </w:p>
    <w:p>
      <w:r>
        <w:t>septembre 2016 consid. 1.3.3). 7.1.2. Selon l'art. 59 al. 3 première phrase CP, le traitement s'effectue dans un établissement fermé tant qu'il y a lieu de craindre que l'auteur ne s'enfuie ou ne commette de nouvelles infractions. Cette question relève de la compétence de l'autorité d'exécution, mais le juge pénal de fond peut communiquer à celle-ci son appréciation dans son jugement (ATF 142 IV 1 consid. 2.5 ; arrêt du Tribunal fédéral 6B_703/2016 du 2 juin 2017 consid. 3.1.2). Le placement institutionnel des troubles mentaux doit avoir lieu dans un établissement fermé en cas de risque de fuite ou de risque qualifié de récidive ; le risque est qualifié lorsqu'il est concrètement hautement probable que de nouvelles infractions contre des biens juridiques essentiels soient commises en absence de placement dans un établissement fermé, de simples difficultés de comportement ne suffisent pas (arrêts du Tribunal fédéral 6B_1069/2021 du 12 novembre 2021 consid. 1.1 ; 6B_1026/2018 du 1er mai 2019 consid. 1.5 ; 6B_1216/2018 du 16 janvier 2019 consid. 1.1).</w:t>
      </w:r>
    </w:p>
    <w:p>
      <w:r>
        <w:t>7.2.1. En l'espèce, les experts ont retenu que l'appelant souffrait de plusieurs troubles psychiatriques au moment des faits, et notamment d'un grave trouble mixte de la personnalité, avec des traits borderline et schizotypiques et des idées sub-délirantes de persécution, ainsi que d'un syndrome de dépendance à l'alcool. Selon les experts, ces troubles sont en relation avec l'homicide qu'il a commis. Son risque de récidive violente est moyennement élevé, en lien notamment avec un risque d'instabilité sur le plan comportemental et de consommation excessive d'alcool. Dans leur rapport complémentaire du 2 mars 2023, les experts ont confirmé leurs conclusions initiales en notant que l'appelant se montrait parfois tendu et menaçant envers autrui et présentait parfois des éléments délirants lors de décompensations avec un glissement hors de la réalité, sans qu'on pût encore parler de psychose.</w:t>
      </w:r>
    </w:p>
    <w:p>
      <w:r>
        <w:t>Au vu de ce qui précède, il ne fait pas de doute que l'appelant souffre d'un trouble mental ayant un impact majeur sur sa vie et susceptible d'engendrer la commission d'infractions violentes selon l'art. 59 al. 1 let. a CP. La Chambre de céans a elle- même pu constater lors de l'audition de l'appelant qu'il apparaissait détaché des faits qui lui étaient reprochés et concentré sur des idées de persécution, avec de fréquentes fuite dans son discours y relatif. Les conclusions de l'expertise sont également corroborées par l'historique médical de l'appelant. Celui-ci a en effet fait l'objet de multiples hospitalisations dans plusieurs hôpitaux de Suisse en lien avec des idées de</w:t>
      </w:r>
    </w:p>
    <w:p>
      <w:r>
        <w:t>- 25/33 - P/23634/2020 suicide liées à des alcoolisations massives. À une reprise, il a notamment été recueilli à l'hôpital H______ avec des taches de sang sur ses vêtements, affirmant vouloir faire du mal à lui-même ou à autrui et avoir peur de perdre le contrôle. Un jour avant de commettre un homicide par négligence, il s'est par ailleurs présenté aux urgences des HUG en déclarant avoir des idées auto- et héteroagressives envahissantes.</w:t>
      </w:r>
    </w:p>
    <w:p>
      <w:r>
        <w:t>Selon les experts, seul un traitement institutionnel en milieu fermé dans un établissement spécialisé du type de AA_____ et sur une période suffisamment longue est susceptible d'améliorer le pronostic de récidive de l'appelant. Une telle mesure pourrait produire des effets après une année déjà, et ce bien que l'expertisé soit en l'état ambivalent vis-à-vis de la nécessité d'un tel traitement, niant notamment souffrir d'un trouble mixte de la personnalité. En cas d'efficacité de la mesure, le risque de récidive à cinq ans de l'appelant serait significativement réduit.</w:t>
      </w:r>
    </w:p>
    <w:p>
      <w:r>
        <w:t>Il apparaît ainsi hautement vraisemblable que le prononcé d'une mesure institutionnelle des troubles mentaux à l'encontre de l'appelant, incluant une prise en charge structurante, permettrait de stabiliser son état psychique tout en prenant en charge son addiction à l'alcool, et ainsi de réduire son risque de récidive. Le manque de coopération initial de l'appelant ne suffit en tous les cas pas pour exclure un tel résultat. Il en résulte que la condition de l'art. 59 al. 1 let. b CP est également remplie.</w:t>
      </w:r>
    </w:p>
    <w:p>
      <w:r>
        <w:t>Dans leur rapport complémentaire, les experts ont précisé qu'une mesure ambulatoire serait vouée à l'échec étant donné les difficultés de compliance au traitement présentées par l'appelant. Un traitement psychiatrique ambulatoire a d'ailleurs été mis en place dans l'attente du jugement au fond et n'a pas produit de résultats notables, les troubles psychiatriques de l'appelant ayant au contraire subi une évolution négative dans le cadre carcéral. Les considérations contraires contenues dans le certificat médical du Service de médecine pénitentiaire du 11 octobre 2022 ne reflètent donc pas la réalité de l'état de santé de l'appelant et doivent être écartées. Une mesure ambulatoire ne saurait suffire dans le cas d'espèce. Pour le surplus, la restriction importante causée à la liberté personnelle de l'appelant par la mise en œuvre d'une mesure thérapeutique institutionnelle apparaît proportionnée en comparaison du risque qu'une libération sans traitement ferait courir à l'ordre public. Comme l'ont relevé les experts, le risque de récidive de l'appelant lié à ses pathologies psychiatriques est directement influencé par sa consommation excessive d'alcool et il est à craindre que celle-ci reprenne en cas de libération. En outre, comme souligné par le conseil des parties plaignantes, la combinaison d'un délire de persécution et de pertes ponctuelles de contact avec la réalité avec la volonté exprimée par l'appelant de terminer sa vie, ce qui résulte de son état dépressif, constitue à l'évidence une menace sérieuse pour la société.</w:t>
      </w:r>
    </w:p>
    <w:p>
      <w:r>
        <w:t>- 26/33 - P/23634/2020</w:t>
      </w:r>
    </w:p>
    <w:p>
      <w:r>
        <w:t>En conséquence, c'est à juste titre que le TCO a ordonné une mesure thérapeutique institutionnelle sous la forme d'un traitement des troubles mentaux à l'encontre de l'appelant. L'appel de celui-ci sur ce point doit donc être rejeté. Conformément à l'art. 57 al. 2 CP, l'exécution de la mesure thérapeutique institutionnelle primera la peine privative de liberté prononcée conjointement.</w:t>
      </w:r>
    </w:p>
    <w:p>
      <w:r>
        <w:t>7.2.2. S'agissant de la mise en œuvre de cette mesure, la question relève du Service d'application des peines et mesures (SAPEM). On peut toutefois d'ores et déjà mettre en exergue que, conformément aux assertions des experts, il existe un certain risque de fuite de l'appelant en cas de placement en milieu ouvert, outre le risque très important d'auto-agressivité, sinon la possibilité d'actes hétéro-agressifs. 8. 8.1. Selon l'art. 66a al. 1 let. b CP, l'étranger qui est condamné pour une infraction de lésions corporelles graves au sens de l'art. 122 CP est obligatoirement expulsé de Suisse pour une durée minimale de cinq ans. En présence d'un risque de récidive à l'encontre d'un bien juridiquement protégé de première importance comme l'intégrité physique, il suffit que celui-ci soit minimal pour que la condition posée l'art. 5 de l'accord du 21 juin 1999 entre la Confédération suisse, d'une part, et la Communauté européenne et ses Etats membres, d'autre part, sur la libre circulation des personnes (ALCP) soit remplie (ATF 145 IV 364 consid. 3.5.2 ; 145 IV 55 consid. 3.3 et 4.4).</w:t>
      </w:r>
    </w:p>
    <w:p>
      <w:r>
        <w:t>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 10 mars 2021 consid. 9.5). Le juge pénal dispose à cet égard d'une large marge d'appréciation (arrêts du Tribunal fédéral 6B_1079/2022 du 8 mars 2023 consid. 9.2.2 ; 6B_1508/2021 du 5 décembre 2022 consid. 4.2.1 ; 6B_399/2021 du</w:t>
      </w:r>
    </w:p>
    <w:p>
      <w:r>
        <w:rPr>
          <w:b/>
        </w:rPr>
        <w:t>E. 12.1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et de CHF 150.- pour un avocat collaborateur, débours de l'étude inclus.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w:t>
      </w:r>
    </w:p>
    <w:p>
      <w:r>
        <w:t>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AARP/370/2022 du 29 novembre 2022 consid. 5.2 ; AARP/318/2022 du 17 octobre 2022 consid. 10.2).</w:t>
      </w:r>
    </w:p>
    <w:p>
      <w:r>
        <w:t>- 29/33 - P/23634/2020 Le temps de déplacement de l'avocat est considéré comme nécessaire pour la défense d'office au sens de l'art. 135 CPP ; la rémunération forfaitaire de la vacation aller/retour au et du Palais de justice est arrêtée à CHF 100.- pour le chef d'étude et à CHF 75.- pour l'avocat collaborateur (AARP/319/2022 du 13 octobre 2022 consid. 7.2 ; AARP/309/2022 du 6 octobre 2022 consid. 7.3). 12.2.1. En l'espèce, Me C______, défenseur d'office de A______, a requis l'indemnisation de 360 minutes d'activité de chef d'étude et de 1'260 minutes d'activité de collaborateur. Au vu de la complexité de la cause mais également des 59 heures et 30 minutes déjà prises en compte en première instance, une durée totale de travail de douze heures hors audience, soit 720 minutes, apparaît adéquate. L'activité réalisée par la collaboratrice ne sera donc indemnisée que dans cette mesure. Il faut rajouter à cette durée, les 200 minutes qu'ont duré les débats d'appel, soit un total de 920 minutes (15.33 heures). S'agissant des 360 minutes de travail par le chef d'étude sous la forme d'entretiens avec l'appelant en prison, elles doivent être indemnisées vu le contexte psychiatrique et sa prise en charge. L'activité reconnue pour l'ensemble de la procédure dépassant trente heures, le forfait à ajouter en sus sera de 10%. En conclusion, la rémunération du défenseur d'office de l'appelant sera arrêtée ' , correspondant heures d'activité au tarif de - heure ' , six heures d'activité au tarif de - heure ' - , plus la ma oration forfaitaire de ), la vacation au alais de ustice pour l'audience d'appel - et l'équivalent de la au taux de ). 12.2.2. Me F______, conseil juridique gratuit des parties plaignantes, a requis l'indemnisation de 350 minutes d'activité de chef d'étude. Considéré globalement, cet état de frais satisfait les exigences légales et jurisprudentielles régissant l'assistance judiciaire gratuite en matière pénale. Il convient toutefois de rajouter à la durée de 350 minutes, les 200 minutes qu'ont duré les débats d'appel, soit un total de 550 minutes (9.17 heures). L'activité reconnue pour l'ensemble de la procédure dépassant trente heures, le forfait à ajouter en sus sera de 10%. En conclusion, la rémunération du conseil juridique gratuit des parties plaignantes sera arrêtée ' , correspondant heures d'activité au tarif de - heure ' - , plus la ma oration forfaitaire de ), la vacation au Palais de justice pour l'audience d'appel (CHF 100.-) et l'équivalent de la au taux de ). * * * * *</w:t>
      </w:r>
    </w:p>
    <w:p>
      <w:r>
        <w:t>- 30/33 - P/23634/2020</w:t>
      </w:r>
    </w:p>
    <w:p>
      <w:r>
        <w:rPr>
          <w:b/>
        </w:rPr>
        <w:t>E. 13</w:t>
      </w:r>
    </w:p>
    <w:p>
      <w:r>
        <w:t>juillet 2022 consid. 2.2.1).</w:t>
      </w:r>
    </w:p>
    <w:p>
      <w:r>
        <w:t>8.2. En l'espèce, la culpabilité de l'appelant est notable, les infractions qu'il a commises touchent notamment à certains des biens les plus précieux protégés par le code pénal et leur intensité est importante. Le risque que fait en l'état courir l'appelant à l'ordre public est également conséquent. Enfin, ses liens avec la Suisse sont extrêmement ténus, l'appelant n'étant arrivé sur le territoire helvétique que peu avant les faits et ne possédant pas de proche en Suisse.</w:t>
      </w:r>
    </w:p>
    <w:p>
      <w:r>
        <w:t>Au vu de ce qui précède, il ne fait pas de doute que les conditions d'une expulsion sont remplies. La durée d'expulsion de cinq ans retenue en première instance, soit la durée minimale prévue par la loi, apparaît de surcroît excessivement clémente. Sur ce point, il convient donc de réformer le jugement du TCO et de prononcer une expulsion de Suisse pour une durée de dix ans, comme requis par le MP dans son appel joint.</w:t>
      </w:r>
    </w:p>
    <w:p>
      <w:r>
        <w:t>- 27/33 - P/23634/2020 Conformément à l'art. 66c al. 2 CP, l'exécution de la mesure thérapeutique institutionnelle puis, éventuellement, de la peine privative de liberté prononcée conjointement primeront l'exécution de l'expulsion. 9. 9.1. Selon l'art. 41 al. 1 CO, celui qui cause, d'une manière illicite, un dommage à autrui, soit intentionnellement, soit par négligence, est tenu de le réparer. Selon l'art. 47 de la loi fédérale du 30 mars 1911 complétant le Code civil suisse (CO), le juge peut en cas de mort d'homme allouer aux membres de la famille du défunt une indemnité équitable à titre de réparation morale.</w:t>
      </w:r>
    </w:p>
    <w:p>
      <w:r>
        <w:t>Le juge doit fixer l'importance d'un tort moral en équité en tenant compte avant tout de la gravité objective de la lésion, de la gravité des souffrances consécutives à l'atteinte subie par la victime, de la culpabilité de l'auteur et d'une éventuelle faute concomitante de la victime, le tout d'un point de vue objectif (ATF 146 IV 231 consid. 2.3.1 ; 141 III 97 consid. 11.2 ; 132 II 117 consid. 2.2.2)</w:t>
      </w:r>
    </w:p>
    <w:p>
      <w:r>
        <w:t>9.2. Comme précédemment établi, l'appelant est responsable du décès de G______. Au vu des souffrances très importantes subies par les enfants du défunt, jeunes adultes, en lien avec le décès inattendu et prématuré de leur père et du fait que ceux- ci ont en outre dû subir pendant plusieurs semaines son hospitalisation avec l'espoir d'un rétablissement, et ce sans pouvoir lui parler, le montant de CHF 30'000.- attribué à chacun d'eux à titre de réparation morale apparaît adéquat. Dès lors qu'un montant plus élevé aurait également pu être retenu, la somme de CHF 30'000.- devrait par ailleurs être qualifiée d'appropriée même dans l'hypothèse où il aurait fallu tenir compte d'une légère faute concomitante de la victime, question qui souffre donc de rester indécise au vu des circonstances.</w:t>
      </w:r>
    </w:p>
    <w:p>
      <w:r>
        <w:t>Ainsi, la condamnation de l'appelant au paiement de CHF 30'000.-, avec intérêts à 5% l'an dès le 7 décembre 2020, à chacun des enfants de la victime sera maintenue et l'appel rejeté sur ce point. 10. 10.1. Selon l'art. 428 al. 3 CP, si l'autorité de recours rend elle-même une nouvelle décision, elle se prononce également sur les frais fixés par l'autorité inférieure. Selon l'art. 426 al. 1 CP, le prévenu supporte les frais de procédure s'il est condamné, sous réserve des frais afférents à sa défense d'office. Selon l'art. 428 al. 1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w:t>
      </w:r>
    </w:p>
    <w:p>
      <w:r>
        <w:t>- 28/33 - P/23634/2020</w:t>
      </w:r>
    </w:p>
    <w:p>
      <w:r>
        <w:rPr>
          <w:b/>
        </w:rPr>
        <w:t>E. 16</w:t>
      </w:r>
    </w:p>
    <w:p>
      <w:r>
        <w:t>septembre 2020 consid. 11.1.1). Seul le résultat de la procédure d'appel ou de recours elle-même est déterminant (ATF 142 IV 163 consid. 3.2.1).</w:t>
      </w:r>
    </w:p>
    <w:p>
      <w:r>
        <w:t>10.2. En l'occurrence, la condamnation de l'appelant en première instance est intégralement maintenue, de sorte qu'il doit être condamné au paiement de l'entier des frais de la procédure préliminaire et de première instance.</w:t>
      </w:r>
    </w:p>
    <w:p>
      <w:r>
        <w:t>En ce qui concerne la procédure d'appel, l'appelant succombe sur l'entier de ses conclusions. L'appelant joint succombe quant à lui sur sa conclusion essentielle relative à un verdict de meurtre, mais l'emporte sur la durée de la peine privative de liberté et sur la durée de l'expulsion prononcée à l'encontre de l'appelant. Les frais de la procédure d'appel s'élèvent à CHF 5'141.55, y compris un émolument de jugement de CHF 2'000.-. Au vu de ce qui précède, il convient de les faire supporter pour 4/5èmes par l'appelant, le solde devant être supporté par l'État. 11. Dès lors que la durée de peine privative de liberté infligée à l'appelant dépasse la durée de sa détention avant jugement jusqu'au jour du présent jugement, la conclusion en paiement en sa faveur par l'État d'une indemnité en tort moral pour détention injustifiée selon l'art. 429 al. 1 let. c CPP, doit être rejetée.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