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AARP/178/2012 vom 8. Juni 2012</w:t>
      </w:r>
    </w:p>
    <w:p>
      <w:r>
        <w:t>GE Cour de justice, 2012-06-08, FR</w:t>
      </w:r>
    </w:p>
    <w:p>
      <w:r>
        <w:rPr>
          <w:b/>
        </w:rPr>
        <w:t xml:space="preserve">Quelle: </w:t>
      </w:r>
      <w:r>
        <w:t>https://mcp.opencaselaw.ch/entscheid/ge_gerichte_AARP_178_2012</w:t>
      </w:r>
    </w:p>
    <w:p>
      <w:r>
        <w:t>FR: GE_GERICHTE AARP/178/2012 du 8 juin 2012</w:t>
      </w:r>
    </w:p>
    <w:p>
      <w:r>
        <w:t>IT: GE_GERICHTE AARP/178/2012 del 8 giugno 2012</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L'absence constatée par le Ministère public de la signature du mandataire de l'appelant sur la version du mémoire d'appel ne porte pas à conséquence, dans la mesure où ce défaut tient de l'inadvertance. L'exemplaire faisant foi est celui qui figure au dossier, lequel comporte une signature en bonne et due forme.</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w:t>
      </w:r>
    </w:p>
    <w:p>
      <w:r>
        <w:t>- 5/10 - P/18262/2011 application de cette ancienne disposition. Cette jurisprudence conserve toute sa valeur, de sorte que l'on peut continuer à s'y référer (arrêt du Tribunal fédéral 6B_992/2008 du 5 mars 2009 consid. 5.1).</w:t>
      </w:r>
    </w:p>
    <w:p>
      <w:r>
        <w:rPr>
          <w:b/>
        </w:rPr>
        <w:t>E. 2.2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2.3</w:t>
      </w:r>
    </w:p>
    <w:p>
      <w:r>
        <w:t>L'infraction à l'art. 19 al. 1 LStup est passible d'un maximum de trois ans de peine privative de liberté ou d'une peine pécuniaire. La peine prononcée en première instance est donc loin du plafond instauré par le législateur. Il ne s'agit certes pas d'un trafic aux ramifications internationales, mais le modus utilisé par l'appelant, qui a réparti la drogue en en cachant une partie de manière à échapper partiellement à une saisie en cas de palpation de sécurité, démontre une certaine aisance dans la délinquance.</w:t>
      </w:r>
    </w:p>
    <w:p>
      <w:r>
        <w:t>- 6/10 - P/18262/2011 La quantité de cocaïne pure n'est pas si insignifiante que l'appelant le prétend. Ajoutée à la manière dont l'appelant a réparti la cocaïne sur lui, la quantité saisie fait de lui plus qu'un simple consommateur, dont on voit mal l'intérêt qu'il aurait à cacher des boulettes dans une chaussette ou de posséder des réserves de stupéfiants sur lui. L'absence de mise en cause par des tiers n'est pas un facteur réducteur de la culpabilité de l'appelant. Le fait que le Ministère public n'ait pas jugé utile d'élargir l'enquête ne permet de tirer aucune autre conclusion que celle consistant à constater l'existence d'un flagrant délit le 29 décembre 2011, ni plus ni moins. Il s'ensuit que la peine à laquelle l'appelant a été condamné est adaptée à sa culpabilité, sans qu'aucune circonstance atténuante ne puisse être évoquée. Le jugement du Tribunal de police sera en conséquence confirmé sur ce point.</w:t>
      </w:r>
    </w:p>
    <w:p>
      <w:r>
        <w:rPr>
          <w:b/>
        </w:rPr>
        <w:t>E. 3</w:t>
      </w:r>
    </w:p>
    <w:p>
      <w:r>
        <w:t>3.1.1 D’après l’art. 46 al. 1 CP, lorsque le condamné commet, durant le délai d’épreuve, un crime ou un délit et qu’il y a dès lors lieu de prévoir qu’il commettra de nouvelles infractions, le juge révoque le sursis partiel ou le sursis. Le nouveau droit introduit une "clause de la seconde chance" en ce sens que, nonobstant la commission d'un nouveau crime ou délit, le juge ne peut révoquer le sursis qu'en présence d'un pronostic défavorable (A. KUHN in : A. KUHN / L. MOREILLON / B. VIREDAZ / A. BICHOVSKY, La nouvelle partie générale du Code pénal, 2006, p. 230). Une récidive durant le délai d'épreuve n’entraîne en effet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40 consid. 4.4 p. 143 ; arrêt du Tribunal fédéral 6B_855/2010 du 7 avril 2011 consid. 2.1). En particulier, le juge doit prendre en considération l’effet dissuasif que la nouvelle peine peut exercer, si elle est exécutée (ATF 134 IV 140 consid. 4.5 p. 144). A l’inverse, lorsqu’un sursis antérieur est révoqué, l’exécution de la peine suspendue peut conduire à nier un pronostic défavorable et à assortir la nouvelle peine du sursis (ATF 134 IV 140 consid. 4.5 p. 144 ; arrêt du Tribunal fédéral 6B_103/2010 du 22 mars 2010 consid. 2.1.2). L'exécution d'une peine constitue donc une circonstance nouvelle, appelant un réexamen du pronostic au stade de la décision d'ordonner ou non l'exécution de l'autre peine (arrêts du Tribunal fédéral 6B_458/2011 du 13 décembre 2011 consid. 4.1 et 6B_855/2010 du 7 avril 2011 consid. 2.2). 3.1.2 La révocation s'impose en présence d'un pronostic défavorable lié à la situation administrative peu stable de l'appelant. Aucun élément ne ressort du dossier ou de ses</w:t>
      </w:r>
    </w:p>
    <w:p>
      <w:r>
        <w:t>- 7/10 - P/18262/2011 déclarations qui autoriserait le Chambre de céans à faire application de ce que la doctrine nomme la "clause de la seconde chance". L’appelant a déjà été condamné précédemment, notamment pour des infractions spécifiques. Cette condamnation n'était pas anodine, s'agissant d'une peine privative de liberté fixée à une année, moyennant un long délai d'épreuve. Plus symptomatique encore est le temps qui s'est écoulé depuis cette condamnation. Il n'a fallu qu'un peu plus de quinze jours pour que l'appelant récidive, ce qui démontre qu'il n’a tiré aucune leçon de la sanction prononcée, pas plus que de la chance qui lui a été donnée lors de l’octroi du sursis. Cette récidive à très brève échéance est aussi la preuve que l'appelant s’est durablement installé dans la délinquance. Le fait que la quantité de drogue en cause soit inférieure à dix grammes purs n’est pas pertinent, l’appelant ayant démontré qu’il était prêt à commettre une nouvelle infraction à la moindre occasion. Au surplus, l'appelant n’a nullement fait preuve d’une bonne collaboration, n’admettant les faits qu'au stade de l'appel, bien qu'il fût interpellé en flagrant délit. La nouvelle peine n'est pas tant importante qu'elle puisse à elle seule constituer un effet dissuasif suffisant pour éviter une récidive. Le pronostic est clairement défavorable eu égard à la réitération d'actes délictueux de même nature à moins d'un mois d'intervalle et à la situation personnelle de l'appelant, qui ne peut se prévaloir d'aucune capacité de gains pour subvenir à ses besoins. Le pronostic défavorable a pour effet d'écarter l'application de l'art. 46 al. 2 CP, de sorte que les mesures alternatives que prévoit cette disposition légale (art. 46 al. 2 deuxième phrase CP) n'ont pas à être examinées ici. C’est ainsi à juste titre que le premier juge a ordonné la révocation du sursis octroyé par la Cour de justice le 15 décembre 2011. Le jugement entrepris doit donc être confirmé sur ce point également. 3.2.1 S'il révoque le sursis, le juge peut modifier le genre de la peine révoquée pour fixer, avec la nouvelle peine, une peine d'ensemble conformément à l'art. 49 CP. La fixation d'une peine d'ensemble, par application analogique de l'art. 49 CP, n'entre cependant pas en considération si la peine assortie du sursis révoqué et celle nouvellement fixée sont du même genre (ATF 134 IV 241 consid. 4 p. 242 ss). 3.2.2 En l'espèce, la peine du 15 décembre 2011, dont la révocation est ordonnée, et celle découlant du jugement attaqué sont du même genre, s'agissant toutes deux de peines privatives de liberté. Une peine d'ensemble est dès lors exclue au regard de la jurisprudence du Tribunal fédéral. Certes, le jugement du 15 décembre 2011 était constitué d'une peine privative de liberté et d'une peine pécuniaire, laquelle a été occultée par le premier juge qui ne</w:t>
      </w:r>
    </w:p>
    <w:p>
      <w:r>
        <w:t>- 8/10 - P/18262/2011 s'est prononcé que sur la révocation de la peine privative de liberté. La réparation de l'omission reviendrait à prononcer la révocation de la peine pécuniaire et sa prise en compte hypothétique dans une peine d'ensemble (M. NIGGLI / H. WIPRÄCHTIGER, Basler Kommentar Strafrecht I : art. 1-110 StGB, 2e éd., Bâle 2007, n. 30 ad. art. 46 CP; G. STRATENWERTH, Schweizerisches Strafrecht, AT II, Strafen und Massnahmen, 2e éd., Berne 2006, § 5 n. 96 p. 164; arrêt du Tribunal fédéral 6B_46/2011 du 27 septembre 2011 consid. 3.4 et les références citées), ce que n'autorise de toutes façons pas le principe de l'interdiction de la reformatio in peius (art. 391 al. 2 CPP). Aussi la Chambre de céans se contentera-t-elle de constater cette irrégularité dont profite l'appelant.</w:t>
      </w:r>
    </w:p>
    <w:p>
      <w:r>
        <w:rPr>
          <w:b/>
        </w:rPr>
        <w:t>E. 4</w:t>
      </w:r>
    </w:p>
    <w:p>
      <w:r>
        <w:t>L'appelant, qui succombe, supportera les frais de la procédure envers l'État (art. 428 CPP), qui comprennent une indemnité de CHF 1'300.- (art. 14 al. 1 let. e du règlement fixant le tarif des frais en matière pénale, E 4 10.03).</w:t>
      </w:r>
    </w:p>
    <w:p>
      <w:r>
        <w:t>* * * * *</w:t>
      </w:r>
    </w:p>
    <w:p>
      <w:r>
        <w:t>- 9/10 - P/18262/2011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