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AARP/177/2022 vom 3. Juni 2022</w:t>
      </w:r>
    </w:p>
    <w:p>
      <w:r>
        <w:t>GE Cour de justice, 2022-06-03, FR</w:t>
      </w:r>
    </w:p>
    <w:p>
      <w:r>
        <w:rPr>
          <w:b/>
        </w:rPr>
        <w:t xml:space="preserve">Quelle: </w:t>
      </w:r>
      <w:r>
        <w:t>https://mcp.opencaselaw.ch/entscheid/ge_gerichte_AARP_177_2022</w:t>
      </w:r>
    </w:p>
    <w:p>
      <w:r>
        <w:t>FR: GE_GERICHTE AARP/177/2022 du 3 juin 2022</w:t>
      </w:r>
    </w:p>
    <w:p>
      <w:r>
        <w:t>IT: GE_GERICHTE AARP/177/2022 del 3 giugno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sont garantis par les art. 14 § 2 du Pacte international relatif aux droits civils et politiques (Pacte II), 6 § 2 de la Convention de sauvegarde des droits de l'homme et des libertés fondamentales (CEDH), 32 al. 1 de la Constitution fédérale de la Confédération suisse (Cst.)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 127 I 38 consid. 2a). 2.1.2.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w:t>
      </w:r>
    </w:p>
    <w:p>
      <w:r>
        <w:t>- 7/17 - P/22263/2018 modifié ses déclarations initiales (arrêt du Tribunal fédéral 6B_708/2020 du 11 mars 2021 consid. 2.1.1).</w:t>
      </w:r>
    </w:p>
    <w:p>
      <w:r>
        <w:rPr>
          <w:b/>
        </w:rPr>
        <w:t>E. 2.2</w:t>
      </w:r>
    </w:p>
    <w:p>
      <w:r>
        <w:t>L'art. 160 CP sanctionne le comportement de celui qui aura acquis, reçu en don ou en gage, dissimulé ou aidé à négocier une chose dont il savait ou devait présumer qu'un tiers l'avait obtenue au moyen d'une infraction contre le patrimoine. Au plan objectif, l'infraction de recel suppose une chose obtenue au moyen d'une infraction contre le patrimoine, notion qui s'entend de manière large et englobe toute infraction dirigée contre le patrimoine d'autrui (ATF 127 IV 79 consid. 2a et b p. 81 ss).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du Tribunal fédéral 6B_641/2017 du 1er juin 2018 consid. 1.1). L'illicéité du recel réside dans le fait que les actes concernés font perdurer une situation contraire au droit, généré par la commission de l'infraction préalable (M. DUPUIS et al., op. cit., n. 2 ad art. 160). Le recel protège ainsi le droit de la personne lésée à récupérer la chose qui lui a été enlevée de manière délictueuse (ATF 116 IV 99 consid. b). Il exige que l'infraction antérieure soit déjà consommée, par un tiers, et qu'il s'agisse d'une infraction contre le patrimoine d'autrui générant un droit à restitution. Il est toutefois conçu comme une infraction indépendante de cette première infraction, ce qui implique que le for pour le receleur se détermine de manière autonome (ATF 77 IV 123 consid. 1). La dissimulation désigne tout comportement par lequel l'auteur rend plus difficile ou empêche la découverte de l'objet de l'infraction. L'acte de dissimulation peut consister à cacher la chose, à la déplacer dans un lieu où l'on ne se doute pas de sa présence, à la revendre, à faire de fausses déclarations, par exemple à la police, ou à procéder à une mise en scène pour dissimuler sa localisation (M. DUPUIS et al., op. cit., n. 21 ad art. 160).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1er mars 2011 consid. 2.2). Il en va ainsi lorsque les circonstances suggèrent le soupçon de la provenance délictueuse (ATF 129 IV 230 consid. 5.3.2 p. 236 s. et les références à ATF 119 IV 242 consid. 2b p. 247 ; 101 IV 402 consid. 2 p. 405 s. ; arrêt du Tribunal fédéral 6B_641/2017 du 1er juin 2018 consid. 1.1).</w:t>
      </w:r>
    </w:p>
    <w:p>
      <w:r>
        <w:rPr>
          <w:b/>
        </w:rPr>
        <w:t>E. 2.3</w:t>
      </w:r>
    </w:p>
    <w:p>
      <w:r>
        <w:t>Selon l'art. 172ter al. 1 CP, applicable aux infractions du titre 2 de la partie spéciale du CP (infractions contre le patrimoine ; art. 137 à 172ter CP), si l'acte ne</w:t>
      </w:r>
    </w:p>
    <w:p>
      <w:r>
        <w:t>- 8/17 - P/22263/2018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w:t>
      </w:r>
    </w:p>
    <w:p>
      <w:r>
        <w:rPr>
          <w:b/>
        </w:rPr>
        <w:t>E. 2.4</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 2.5.1. En l'espèce, il est établi que l'appelant a cherché à récupérer le sac contenant les affaires qu'il conservait à l'appartement, en demandant à une connaissance de s'en charger et, spécifiquement, de les amener dans une épicerie à L______. Le fait qu'il n'a pas voulu amener ces objets à S______ chez sa mère, comme le reste de ses affaires, est un indice de ce qu'il savait, ou présumait que ce sac contenait des objets d'origine illicite et qu'il fallait éviter de passer la frontière en possession de celui-ci et le dissimuler en un lieu où l'on ne pouvait se douter de sa présence.</w:t>
      </w:r>
    </w:p>
    <w:p>
      <w:r>
        <w:t>- 9/17 - P/22263/2018 Les explications de l'appelant quant au fait que ces biens avaient été laissés dans l'appartement et non déposés au pied de l'immeuble comme les autres car il s'agissait d'affaires "très personnelles" qu'il avait acquises légitimement, au marché aux puces ou dans les déchets, ne convainquent nullement. Ainsi qu'il l'explique lui-même, il s'agissait d'objets en grande partie abîmés ou dénués de toute utilité. Il en va ainsi par exemple de la multitude de téléphones portables et de cartes SIM, détenues sans téléphone, dont il n'avait manifestement pas besoin, de même que des divers portemonnaies, des cartes de fitness ou de visite, des cartes SD dont certaines comprenaient des photographies de vacances ne le concernant pas. Ces objets n'avaient aucune utilité ou valeur sentimentale pour l'appelant. Dans ce contexte, ses déclarations, relatives à une acquisition légitime de ces objets et à son attachement supposé à ceux-ci ne convainquent d'aucune manière, le fait qu'il connaisse le prix sur le marché de certains de ces objets ne lui étant du reste d'aucun soutien. Elles apparaissent avoir été formulées dans le but de précisément masquer leur acquisition illicite, étant précisé que ses allégations selon lesquelles il serait atteint du syndrome de Diogène ne trouvent aucun ancrage dans la procédure. Concernant le grief élevé en particulier par l'appelant relatif aux trois cartes SD mentionnées par l'accusation, il est établi qu'elles étaient contenues dans des téléphones dérobés, qu'une plainte a été déposé pour l'un de ces vols et que ces cartes faisaient partie des objets contenus dans le sac, de sorte que l'appelant n'ignorait manifestement pas, au vu de leur nature, les avoir acquises de manière illégale, ou du moins, le soupçonnait fortement, en dépit de ses dénégations. Cela étant, la question de savoir si une unité d'action peut être retenue quant à l'acquisition par l'appelant des objets visés peut rester indécise, dès lors qu'on ignore les circonstances précises de ses entrées en possession, lesquelles peuvent rester indécises. La qualification de recel ne s'épuise, en effet, pas par cette acquisition, mais vise également la dissimulation de tels objets, telle que le retient, au demeurant, l'acte d'accusation. Or, au vu de la conservation dans l'appartement de C______ puis du regroupement des objets en question, dans un même sac, et son dépôt au kiosque évoqué, il doit être retenu qu'il entendait bien faire perdurer sa possession illicite sur l'ensemble des éléments saisis, les dissimulant de la sorte, quand bien même il ne cherchait pas nécessairement à en revendre l'intégralité, plusieurs d'entre eux étant effectivement abîmés ou inutilisables. Il sera relevé à ce propos que l'appelant a expliqué avoir conservé les nombreuses cartes SIM contenues dans le sac parce qu'elles comprenaient de l'or, si bien qu'il cherchait manifestement à en tirer un profit économique. Il doit également être retenu que l'appelant n'ignorait pas que la valeur globale des biens en cause excédait CHF 300.-, au vu de la multitude d'objets concernés, dont deux paires de lunettes de marque de luxe. En conséquence, le verdict de culpabilité rendu à l'encontre de l'appelant pour recel doit être confirmé s'agissant des faits visés supra, au point B.c.a. et ss.</w:t>
      </w:r>
    </w:p>
    <w:p>
      <w:r>
        <w:t>- 10/17 - P/22263/2018 2.5.2. En revanche, le dossier ne contient aucun élément permettant de tenir pour établi que l'appelant a servi d'intermédiaire pour la revente d'objets provenant d'une infraction. En effet ses déclarations selon lesquelles il mettait en contact des connaissances ayant des biens à vendre avec des dealers ou des receleurs, rétractées ensuite, sont peu probantes, l'intéressé les ayant faites alors qu'il était entendu au sujet du trafic de stupéfiants et des cambriolages initialement reprochés et dont on peut présumer qu'il cherchait à se disculper. Il a d'ailleurs livré des déclarations confuses et contradictoires à ce propos, expliquant notamment que les photographies du paquet de cocaïne de 23.5 gr retrouvées dans son téléphone correspondaient à la drogue qu'il avait reçue gratuitement pour son activité d'intermédiaire ou encore qu'il s'agissait de la drogue qu'il avait achetée à H______ pour sa propre consommation, ce qui est peu probable au vu de la quantité en cause. Il a également déclaré qu'il n'avait jamais été en contact avec des armes, alors qu'une image le montre exhibant un pistolet. Ces déclarations peu cohérentes n'ont pas fait l'objet de vérification et aucun élément ne permet donc de leur donner quelque consistance. L'on ignore en particulier pour quels objets l'appelant aurait servi d'intermédiaire, pour quelle valeur ou encore où et quand il aurait agi. Rien n'indique en effet que les faits reprochés auraient été commis en Suisse quand bien même il y résidait durant la période pénale, étant relevé qu'il retournait régulièrement à S______ comme en témoigne notamment son interpellation le 7 février 2019 à la douane de Thônex-Vallard en provenance de France. Le fait qu'il ait conservé et dissimulé le sac évoqué plus haut contenant des objets de provenance douteuse en Suisse n'y change rien, aucun lien ne pouvant être fait, à teneur du dossier, avec ce complexe de faits. Les déclarations initiales de l'appelant ne peuvent ainsi pas être prises au mot et ne suffisent pas à asseoir un verdict de culpabilité, de sorte qu'il convient d'écarter l'infraction de recel pour les faits visés sous B.b.a et ss. L'appel sera admis sur ce point.</w:t>
      </w:r>
    </w:p>
    <w:p>
      <w:r>
        <w:rPr>
          <w:b/>
        </w:rPr>
        <w:t>E. 3</w:t>
      </w:r>
    </w:p>
    <w:p>
      <w:r>
        <w:t>3.1.1. L'infraction de recel est sanctionnée d'une peine privative de liberté de cinq ans au plus ou d'une peine pécuniaire (art. 160 ch. 1 al. 1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- 11/17 - P/22263/2018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 faute de l'appelant pour l'infraction de recel est non négligeable. Il a détenu et dissimulé une multitude d'objets de provenance douteuse, dont des cartes SD initialement contenues dans des téléphones portables volés, en envisageant et acceptant une telle provenance illicite. Ce faisant, il a contribué à la dissimulation du butin du crime et a cherché à rendre plus difficile la restitution de leurs biens aux lésés. Il a un antécédent, non spécifique. Sa collaboration et sa prise de conscience sont mauvaises puisqu'il persiste à nier les faits et qu'il n'a présenté aucun regret ou excuse. Compte tenu de ses éléments, une peine de 90 jours-amende, sous déduction de 49 jours-amende, correspondant à 49 jours de détention avant jugement (art. 51 CP), paraît justifiée même en considérant l'acquittement prononcé pour une partie des faits, et le montant du jour-amende arrêté à CHF 10.-, adéquat, au regard de la situation financière de l'appelant. L'octroi du sursis et la durée du délai d'épreuve de deux ans, non contestés en appel, sont acquis à l'appelant.</w:t>
      </w:r>
    </w:p>
    <w:p>
      <w:r>
        <w:rPr>
          <w:b/>
        </w:rPr>
        <w:t>E. 4</w:t>
      </w:r>
    </w:p>
    <w:p>
      <w:r>
        <w:t>Les confiscations, destructions et restitutions prononcées par le TP, justifiées, seront confirmées (art. 267 al. 1 et 3 CPP et 69 CP).</w:t>
      </w:r>
    </w:p>
    <w:p>
      <w:r>
        <w:rPr>
          <w:b/>
        </w:rPr>
        <w:t>E. 5.1</w:t>
      </w:r>
    </w:p>
    <w:p>
      <w:r>
        <w:t>L'appelant, qui obtient partiellement gain de cause, supportera la moitié des frais de la procédure envers l'État (art. 428 CPP), de même que la moitié de l'émolument complémentaire de jugement fixé par le TP. 5.2.1 Acquitté du chef de recel en lien avec les faits visés sous B.b.a et ss, il se justifie de laisser les frais de la procédure préliminaire et de première instance afférents à ce chef d'accusation à charge de l'Etat, étant précisé qu'il n'a pas nécessité d'actes d'instruction particuliers.</w:t>
      </w:r>
    </w:p>
    <w:p>
      <w:r>
        <w:t>- 12/17 - P/22263/2018 Une réduction des frais de 20% paraît dès lors justifiée et l'appelant supportera par conséquent les 80% desdits frais. 5.2.2. Aux termes de l'art. 51 CP, le juge impute sur la peine la détention avant jugement subie par l'auteur dans le cadre de l'affaire qui vient d'être jugée ou d'une autre procédure. Il découle de cette disposition que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 arrêt du Tribunal fédéral 6B_671/2016 du 17 mai 2017 consid. 1.1). Au vu de ce qui précède, l'appelant doit être débouté de ses conclusions en indemnisation (art. 429 al. 1 let. c CPP).</w:t>
      </w:r>
    </w:p>
    <w:p>
      <w:r>
        <w:rPr>
          <w:b/>
        </w:rPr>
        <w:t>E. 6.1</w:t>
      </w:r>
    </w:p>
    <w:p>
      <w:r>
        <w:t>Selon l'art. 135 al. 1 CPP, le défenseur d'office ou le conseil juridique gratuit (cf. art. 138 al. 1 CPP) est indemnisé conformément au tarif des avocats de la Confédération ou du canton du for du procès, soit en l'occurrence, à Genève, CHF 200.-/h pour un chef d'Etude (art. 16 du règlement sur l'assistance juridique [RAJ]).</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- 13/17 - P/22263/2018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il sera retranché de l'état de frais de Me B______ l'activité consacrée à la rédaction de la déclaration d'appel, celle-ci étant couverte par le forfait. La préparation du bordereau de pièces et la finalisation du mémoire d’appel, qui constitue une activité purement administrative également comprise dans le forfait, ne sera pas non plus comptabilisée. Le temps dédié à la rédaction de cette écriture est excessif, le dossier étant réputé bien maîtrisé par l'avocat pour avoir été plaidé en première instance il y a peu, étant précisé qu'il n'a connu aucun rebondissement en appel. L'activité y relative sera partant réduite à six heures.</w:t>
      </w:r>
    </w:p>
    <w:p>
      <w:r>
        <w:t>En conclusion, la rémunération sera arrêtée à CHF 1'421.65 correspondant à six heures d'activité au tarif de CHF 200.-/heure plus la majoration forfaitaire de 10% au vu de l'activité déployée en première instance, et l'équivalent de la TVA au taux de 7.7% en CHF 101.65. * * * * *</w:t>
      </w:r>
    </w:p>
    <w:p>
      <w:r>
        <w:t>- 14/17 - P/22263/2018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