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AARP/177/2013 vom 19. April 2013</w:t>
      </w:r>
    </w:p>
    <w:p>
      <w:r>
        <w:t>GE Cour de justice, 2013-04-19, FR</w:t>
      </w:r>
    </w:p>
    <w:p>
      <w:r>
        <w:rPr>
          <w:b/>
        </w:rPr>
        <w:t xml:space="preserve">Quelle: </w:t>
      </w:r>
      <w:r>
        <w:t>https://mcp.opencaselaw.ch/entscheid/ge_gerichte_AARP_177_2013</w:t>
      </w:r>
    </w:p>
    <w:p>
      <w:r>
        <w:t>FR: GE_GERICHTE AARP/177/2013 du 19 avril 2013</w:t>
      </w:r>
    </w:p>
    <w:p>
      <w:r>
        <w:t>IT: GE_GERICHTE AARP/177/2013 del 19 aprile 2013</w:t>
      </w:r>
    </w:p>
    <w:p>
      <w:pPr>
        <w:pStyle w:val="Heading2"/>
      </w:pPr>
      <w:r>
        <w:t>Erwägungen</w:t>
      </w:r>
    </w:p>
    <w:p>
      <w:r>
        <w:rPr>
          <w:b/>
        </w:rPr>
        <w:t>E. 1</w:t>
      </w:r>
    </w:p>
    <w:p>
      <w:r>
        <w:t>L'appel et l'appel joint sont recevables pour avoir été interjetés et motivés selon la forme et dans les délais prescrits (art. 398 et 399 du Code de procédure pénale, du 5 octobre 2007 (CPP ; RS 312.0).</w:t>
      </w:r>
    </w:p>
    <w:p>
      <w:r>
        <w:t>- 5/11 - P/502/2012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w:t>
      </w:r>
    </w:p>
    <w:p>
      <w:r>
        <w:t>- 6/11 - P/502/2012 Il appartient à la direction de la procédure d'examiner si l'acte d'accusation et le dossier sont établis régulièrement (art. 329 al. 1 let. a CPP), l'examen devant permettre de déterminer si l'acte d'accusation satisfait aux exigences posées par l'art. 325 CPP (A. KUHN / Y. JEANNERET (éds), Commentaire romand : Code de procédure pénale suisse, Bâle 2011, n. 3 ad art. 329). Le Tribunal peut aussi renvoyer l'accusation au Ministère public pour qu'il la complète ou la corrige (art. 329 al. 2 deuxième phrase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w:t>
      </w:r>
    </w:p>
    <w:p>
      <w:r>
        <w:rPr>
          <w:b/>
        </w:rPr>
        <w:t>E. 2.2</w:t>
      </w:r>
    </w:p>
    <w:p>
      <w:r>
        <w:t>Se rend coupable d’infraction à l’art. 305bis ch. 1 CP celui qui aura commis un acte propre à entraver l’identification de l’origine, la découverte ou la confiscation de valeurs patrimoniales dont il savait ou devait présumer qu’elles provenaient d’un crime. Sont considérées comme crimes les infractions passibles d’une peine privative de liberté de plus de trois ans (art. 10 al. 2 CP) dont fait partie la violation grave de la loi fédérale sur les stupéfiants (art. 19 ch. 1 et 2 let. a LStup). Une infraction à l’art. 305bis ch. 1 CP suppose la commission d’un acte propre à entraver l’identification de l’origine, la découverte ou la confiscation de valeurs patrimoniales, ce qui doit être tranché de cas en cas, en fonction de l’ensemble des circonstances. Est ainsi déterminant le fait que l’acte, dans les circonstances concrètes, soit propre à entraver l’accès des autorités de poursuite pénale aux valeurs patrimoniales provenant d’un crime. Il n’est pas nécessaire qu’il l’ait effectivement entravé, dans la mesure où le blanchiment d’argent est une infraction de mise en danger abstraite, punissable indépendamment de la survenance d’un résultat (ATF 128 IV 117 consid. 7a p. 131 ; ATF 127 IV 20 consid. 3a p. 25s). Selon la jurisprudence, sont notamment constitutifs d’un acte d’entrave au sens de l’art. 305bis CP, la dissimulation d’argent provenant d’un trafic de drogue (ATF 119 IV 59 consid. 2d p. 63s), le transfert de fonds de provenance criminelle, notamment d’un pays à un autre (ATF 129 IV 271 consid. 2.1 p. 273 ; ATF 127 IV 20 consid. 3b p. 26) ou l’échange d’argent liquide de provenance criminelle (ATF 122 IV 211 consid. 2c p. 215s).</w:t>
      </w:r>
    </w:p>
    <w:p>
      <w:r>
        <w:t>- 7/11 - P/502/2012 Il convient de rappeler que la preuve stricte de l'acte préalable n'est pas exigée. Il n'est pas nécessaire que l'on connaisse en détail les circonstances du crime, car le lien entre le crime à l'origine des fonds et le blanchiment d'argent est volontairement ténu (arrêt du Tribunal fédéral 6B_729/2010 du 8 décembre 2011, consid. 4.1.3 non publié à l'ATF 138 IV 1). Sur le plan subjectif, l’auteur doit vouloir ou accepter que le comportement qu’il choisit d’adopter soit propre à provoquer l’entrave prohibée. Au moment d’agir, il doit s’accommoder d’une réalisation possible des éléments constitutifs de l’infraction (ATF 122 IV 211 consid. 2e p. 217). L'infraction de blanchiment d'argent requiert l'intention de l'auteur, le dol éventuel étant suffisant (ATF 133 III 323 consid. 5.2 p. 330).</w:t>
      </w:r>
    </w:p>
    <w:p>
      <w:r>
        <w:rPr>
          <w:b/>
        </w:rPr>
        <w:t>E. 2.3</w:t>
      </w:r>
    </w:p>
    <w:p>
      <w:r>
        <w:t>En l'occurrence, l'acte d'accusation a été rédigé avec précision car tous les éléments constitutifs de l'infraction de blanchiment d'argent y figurent. Contrairement à ce que soutient l'appelant principal, il n'était pas nécessaire que l'infraction préalable soit décrite de façon détaillée (arrêt 6.B_729/2010 partiellement publié).</w:t>
      </w:r>
    </w:p>
    <w:p>
      <w:r>
        <w:rPr>
          <w:b/>
        </w:rPr>
        <w:t>E. 2.4</w:t>
      </w:r>
    </w:p>
    <w:p>
      <w:r>
        <w:t>L'appelant principal n'a soulevé qu'un argument de nature formelle, lié à la rédaction de l'acte d'accusation. Sur le fond, il ne soutient pas que les sommes transportées ne provenaient pas du trafic de drogue. Il n'y a donc pas lieu de revenir sur ce point.</w:t>
      </w:r>
    </w:p>
    <w:p>
      <w:r>
        <w:rPr>
          <w:b/>
        </w:rPr>
        <w:t>E. 2.5</w:t>
      </w:r>
    </w:p>
    <w:p>
      <w:r>
        <w:t>Le jugement dont est appel sera confirmé en tant qu'il reconnaît l'appelant principal coupable de blanchiment d'argent au sens de l'art. 305bis ch. 1 CP.</w:t>
      </w:r>
    </w:p>
    <w:p>
      <w:r>
        <w:rPr>
          <w:b/>
        </w:rPr>
        <w:t>E. 3.1</w:t>
      </w:r>
    </w:p>
    <w:p>
      <w:r>
        <w:t>Le juge atténue la peine lorsque l'auteur a manifesté par des actes un repentir sincère. Le repentir sincère visé à l'art. 48 lit.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6B_622/2007 du 8 janvier 2008 consid. 3.2).</w:t>
      </w:r>
    </w:p>
    <w:p>
      <w:r>
        <w:rPr>
          <w:b/>
        </w:rPr>
        <w:t>E. 3.2</w:t>
      </w:r>
    </w:p>
    <w:p>
      <w:r>
        <w:t>En l'espèce, l'appelant principal a fourni des efforts particuliers et désintéressés en collaborant avec la police de manière constante depuis son interpellation, passant des aveux essentiels. Non seulement il a donné des indications permettant d'identifier le réceptionnaire, B______, mais il a également permis de localiser l'appartement servant de base au trafic en Espagne, en contribuant ainsi à l'avancement d'une enquête aux ramifications internationales. Cette collaboration était susceptible de l'exposer à des représailles et il s'est également incriminé s'agissant de ses onze déplacements en Suisse afin de rapporter l'argent en Espagne. Ainsi, c'est avec raison que le Tribunal correctionnel a mis l'appelant principal au bénéfice de la circonstance atténuante du repentir sincère.</w:t>
      </w:r>
    </w:p>
    <w:p>
      <w:r>
        <w:t>- 8/11 - P/502/2012</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t>En matière de trafic de stupéfiants,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ch. 2 let. a aLStup.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w:t>
      </w:r>
    </w:p>
    <w:p>
      <w:r>
        <w:t>- 9/11 - P/502/2012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w:t>
      </w:r>
    </w:p>
    <w:p>
      <w:r>
        <w:rPr>
          <w:b/>
        </w:rPr>
        <w:t>E. 4.2</w:t>
      </w:r>
    </w:p>
    <w:p>
      <w:r>
        <w:t>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w:t>
      </w:r>
    </w:p>
    <w:p>
      <w:r>
        <w:rPr>
          <w:b/>
        </w:rPr>
        <w:t>E. 4.3</w:t>
      </w:r>
    </w:p>
    <w:p>
      <w:r>
        <w:t>La faute de l'appelant est lourde au vu des circonstances du cas d'espèce et du bien juridique lésé, soit la santé des consommateurs. Il a fait preuve d'une volonté délictuelle constante et importante, effectuant une vingtaine de voyages en l'espace de 5 mois environ, pour une quantité élevée de cocaïne compte tenu du taux de pureté qui dépasse la limite du cas grave fixé à l'art. 19 al. 2 let. a LStup. Seule son interpellation a pu mettre fin à cette activité. L'appelant a agi en tant que mule, soit à un niveau relativement bas de l'organisation, mais avait acquis la confiance des organisateurs et s'occupait aussi du convoyage de fonds, activité moins risquée et dangereuse que celle de "body pack". Les séquelles de l'accident subi lorsqu'il était enfant sont certes lourdes, mais il demeure qu'il a choisi la voie de l'illégalité pour y faire face. Il a été mis au bénéfice de la circonstance atténuante du repentir sincère. Il n'a pas d'antécédents, étant rappelé que l'absence d'antécédents est un facteur neutre dans la fixation de la peine (ATF 136 IV 1, consid. 2.6). Au regard de l'ensemble de ces circonstances, la peine privative de liberté de 4 ans est adéquate et doit être confirmée.</w:t>
      </w:r>
    </w:p>
    <w:p>
      <w:r>
        <w:rPr>
          <w:b/>
        </w:rPr>
        <w:t>E. 5</w:t>
      </w:r>
    </w:p>
    <w:p>
      <w:r>
        <w:t>L'appelant et le Ministère public succombent. L'appelant supportera par moitié les frais de la procédure, comportant un émolument de CHF 1'200.- (art. 14 al. 1 let. a du règlement fixant le tarif des frais en matière pénale, du 22 décembre 2010 [RTFMP ; RS E 4 10.03]). *****</w:t>
      </w:r>
    </w:p>
    <w:p>
      <w:r>
        <w:t>- 10/11 - P/502/2012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