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AARP/176/2019 vom 22. November 2018</w:t>
      </w:r>
    </w:p>
    <w:p>
      <w:r>
        <w:t>GE Cour de justice, 2018-11-22, FR</w:t>
      </w:r>
    </w:p>
    <w:p>
      <w:r>
        <w:rPr>
          <w:b/>
        </w:rPr>
        <w:t xml:space="preserve">Quelle: </w:t>
      </w:r>
      <w:r>
        <w:t>https://mcp.opencaselaw.ch/entscheid/ge_gerichte_AARP_176_2019</w:t>
      </w:r>
    </w:p>
    <w:p>
      <w:r>
        <w:t>FR: GE_GERICHTE AARP/176/2019 du 22 novembre 2018</w:t>
      </w:r>
    </w:p>
    <w:p>
      <w:r>
        <w:t>IT: GE_GERICHTE AARP/176/2019 del 22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w:t>
      </w:r>
    </w:p>
    <w:p>
      <w:r>
        <w:t>- 7/12 - P/7614/2018 p. 100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w:t>
      </w:r>
    </w:p>
    <w:p>
      <w:r>
        <w:rPr>
          <w:b/>
        </w:rPr>
        <w:t>E. 2.3</w:t>
      </w:r>
    </w:p>
    <w:p>
      <w:r>
        <w:t>En l'espèce, les déclarations des parties sont entièrement contradictoires, si bien qu'il convient d'en apprécier la crédibilité. A cet égard, il sera retenu que la partie plaignante n'a jamais varié dans ses explications, contrairement à l'appelant, qui n'a admis avoir violé les règles de la circulation routière qu'une fois confronté aux images de vidéosurveillance. On comprend par ailleurs mal pour quelle raison celle-là aurait déclaré avoir été menacée par l'appelant, si tel n'avait pas été réellement le cas, ce d'autant plus qu'elle n'a pas même pris de conclusions civiles. A ceci s'ajoute, qu'il n'apparait pas invraisemblable, au regard du comportement particulièrement dangereux adopté par l'appelant au volant de son véhicule et résultant d'une colère mal maîtrisée, que ce dernier ait également fait des gestes menaçants envers la partie plaignante. Ceci semble d'autant plus établi, que la partie plaignante, interrogée à plusieurs reprises, a été formelle quant à la nature et la signification de ces gestes, de sorte que les explications de l'appelant selon lesquelles ses signes auraient été mal interprétés, n'apparaissent pas crédibles. Le témoignage de J______ n'emporte pas d'avantage conviction dans la mesure où, en plus d'entretenir une relation amoureuse avec l'appelant, elle a également déclaré que ce dernier avait eu une conduite "adéquate et adaptée" alors même que les images de vidéos surveillance démontrent l'inverse, entachant ainsi sa crédibilité. Du reste, elle n'a pu exclure que l'appelant ait effectivement menacé la partie plaignante, dès lors qu'elle avait fixé la route et s'était "repliée sur elle-même". Ainsi, il sera retenu que l'appelant a bien adressé un signe d'égorgement à la partie plaignante, si bien qu'il convient désormais d'analyser si ce geste était de nature à l'effrayer. L'appelant ne saurait être suivi lorsqu'il indique, que même à supposer qu'il ait effectivement fait mine d'égorger la partie plaignante, celle-ci n'aurait pas été effrayée par ce geste mais seulement par sa conduite, dans la mesure où le</w:t>
      </w:r>
    </w:p>
    <w:p>
      <w:r>
        <w:t>- 8/12 - P/7614/2018 conducteur du "E______" a déclaré l'inverse en audience de jugement, précisant avoir appelé la police après ce signe. A ceci s'ajoute que le geste ne saurait être dissocié du contexte dans lequel il a été effectué dans la mesure où, comme la partie plaignante l'a elle-même expliqué, ce geste était d'autant plus menaçant et alarmant qu'il s'accompagnait d'un comporte- ment routier particulièrement dangereux, propre à démontrer la détermination de l'appelant, la partie plaignante ayant même cru que celui-ci les suivrait jusqu'à l'hôpital pour en "découdre". Le signe d'égorgement adressé par l'appelant à la partie plaignante a effectivement alarmé et effrayé celle-ci, laquelle pouvait légitimement penser que son intégrité physique, celle de ses collègues et de sa patiente étaient en danger. Au regard de ce qui précède, le jugement de première instance reconnaissant l'appelant coupable de menaces sera ainsi confirmé. 3. 3.1. L'infraction de menaces comme la violation grave des règles de la circulation routière sont passibles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L'art. 47 CP confère un large pouvoir d'appréciation au juge (ATF 144 IV 313 consid. 1.2 p. 319). 3.2.2. D'après l'art. 49 al. 1 CP, si, en raison d'un ou de plusieurs actes, l'auteur remplit les conditions de plusieurs peines de même genre, le juge le condamne à la peine de l'infraction la plus grave et l'augmente dans une juste proportion. En</w:t>
      </w:r>
    </w:p>
    <w:p>
      <w:r>
        <w:t>- 9/12 - P/7614/2018 revanche, lorsque la loi pénale ne prévoit pas le même genre de peine pour toutes les infractions, l'art. 49 al. 1 CP ne s'applique pas et les peines doivent être prononcées cumulativement.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144 IV 217 consid. 2.2).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arrêt du Tribunal fédéral 6B_884/2018 du 5 février 2019 consid. 1.2.2). 3.2.3. Aux termes de l'art. 42 al. 1 CP, le juge suspend en règle générale l'exécution d'une peine pécuniaire ou d'une peine privative de liberté de deux ans au plus lorsqu'une peine ferme ne paraît pas nécessaire pour détourner l'auteur d'autres crimes ou délits. 3.2.4. Selon l'art. 34 al. 1 CP, la peine pécuniaire ne peut excéder 180 jours-amende ; le juge en fixe le nombre en fonction de la culpabilité de l'auteur. Le jour-amende est de CHF 3'000.- au plus et de CHF 30.- au moins. Il peut exceptionnellement être réduit à CHF 10.- si la situation économique et personnelle de l'auteur l'exige. Le juge en fixe le montant selon la situation personnelle et économique de l'auteur au moment du jugement, notamment en tenant compte de son revenu et de sa fortune, de son mode de vie, de ses obligations d'assistance, en particulier familiales, et du minimum vital (art. 34 al. 2 CP). 3.3. En l'espèce, la faute de l'appelant est importante dans la mesure où, en plus d'avoir gravement violé les règles de la circulation routière par des manœuvres aussi dangereuses qu'intempestives, faisant courir un risque sérieux pour la sécurité des autres usagers, il a également menacé la partie plaignante de mort, entravant et effrayant cette dernière, alors même qu'elle était en intervention au volant de son véhicule prioritaire. Les motifs des infractions commises par l'appelant sont particulièrement futiles et résultent d'une colère mal maîtrisée. Sa situation personnelle sans particularité ne saurait expliquer son comportement. Sa collaboration ne peut être qualifiée de bonne, dès lors qu'il n'a admis avoir violé les règles de la circulation routière qu'après avoir été confronté aux images de vidéosurveillance et a persisté à nier jusqu'en appel avoir menacé la partie plaignante. Il y a concours d'infractions, ce qui justifie le prononcé d'une peine aggravée. L'infraction de violation grave de la LCR justifie à elle seule le prononcé d'une peine pécuniaire de 30 jours-amende au moins, de même que celle de menaces, si bien que</w:t>
      </w:r>
    </w:p>
    <w:p>
      <w:r>
        <w:t>- 10/12 - P/7614/2018 la peine pécuniaire de 60 jours-amende prononcée par le premier juge, déjà clémente, apparait adéquate. Quant au montant du jour-amende fixé à CHF 30.-, correspondant au minimum légal, il correspond à la situation économique de l'appelant, si bien qu'il convient également de le confirmer.</w:t>
      </w:r>
    </w:p>
    <w:p>
      <w:r>
        <w:t>Le bénéfice du sursis lui est acquis et le délai d'épreuve fixé à trois ans est de nature à le détourner de la commission de nouvelles infractions. 4. L'appelant, qui succombe intégralement, supportera les frais de la procédure envers l'Etat, lesquels comprennent un émolument de CHF 1'500.- (art. 428 CPP).</w:t>
      </w:r>
    </w:p>
    <w:p>
      <w:r>
        <w:t>* * * * *</w:t>
      </w:r>
    </w:p>
    <w:p>
      <w:r>
        <w:t>- 11/12 - P/7614/2018</w:t>
      </w:r>
    </w:p>
    <w:p>
      <w:r>
        <w:rPr>
          <w:b/>
        </w:rPr>
        <w:t>E. 5</w:t>
      </w:r>
    </w:p>
    <w:p>
      <w:r>
        <w:t>juillet 2017 consid. 5.1).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