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AARP/176/2018 vom 4. Juni 2018</w:t>
      </w:r>
    </w:p>
    <w:p>
      <w:r>
        <w:t>GE Cour de justice, 2018-06-04, FR</w:t>
      </w:r>
    </w:p>
    <w:p>
      <w:r>
        <w:rPr>
          <w:b/>
        </w:rPr>
        <w:t xml:space="preserve">Quelle: </w:t>
      </w:r>
      <w:r>
        <w:t>https://mcp.opencaselaw.ch/entscheid/ge_gerichte_AARP_176_2018</w:t>
      </w:r>
    </w:p>
    <w:p>
      <w:r>
        <w:t>FR: GE_GERICHTE AARP/176/2018 du 4 juin 2018</w:t>
      </w:r>
    </w:p>
    <w:p>
      <w:r>
        <w:t>IT: GE_GERICHTE AARP/176/2018 del 4 giugno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- 8/19 - P/2610/2016</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w:t>
      </w:r>
    </w:p>
    <w:p>
      <w:r>
        <w:rPr>
          <w:b/>
        </w:rPr>
        <w:t>E. 2.2</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 6B_398/2013 du 11 juillet 2013 consid. 2.1).</w:t>
      </w:r>
    </w:p>
    <w:p>
      <w:r>
        <w:rPr>
          <w:b/>
        </w:rPr>
        <w:t>E. 3.1</w:t>
      </w:r>
    </w:p>
    <w:p>
      <w:r>
        <w:t>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Il existe une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 137 IV 326 consid. 3.3.1 p. 328 ; 134 IV 216 consid. 4.1 p. 218 ; arrêts du Tribunal fédéral 6B_160/2017 du 13 décembre 2017 consid. 7.1 ; 6B_306/2017 du 2 novembre 2017 consid. 3.1). On peut songer, notamment, à des cas sévères de violation de domicile, dans lesquels l'auteur empiète, d'une manière susceptible de briser la volonté de la victime, sur d'autres biens juridiques constituant des parties de la liberté personnelle. Il en est ainsi, lorsque l'auteur fait usage du moyen de la violation de domicile afin d'imposer une prétention ou s'il refuse catégoriquement de quitter les locaux d'habitation jusqu'à ce que l'habitant ait accepté cette prétention (A. DONATSCH, Strafrecht III, Delikte gegen den Einzelnen, 10e éd., Zurich / Bâle / Genève 2013, p. 433).</w:t>
      </w:r>
    </w:p>
    <w:p>
      <w:r>
        <w:t>Sur le plan subjectif, il faut que l'auteur ait agi intentionnellement, c'est-à-dire qu'il ait voulu contraindre la victime à adopter le comportement visé en étant conscient de l'illicéité de son comportement ; le dol éventuel suffit (ATF 120 IV 17 consid. 2c p. 22).</w:t>
      </w:r>
    </w:p>
    <w:p>
      <w:r>
        <w:t>- 9/19 - P/2610/2016 Pour qu'elle soit consommée, il faut que la victime, sous l'effet de moyens de contrainte illicites, commence à modifier son comportement, subissant ainsi l'influence voulue par l'auteur (arrêt du Tribunal fédéral 6B_719/2015 du 4 mai 2016 consid. 2.1). 3.2.1. Conformément à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Le droit au domicile appartient à la personne qui a le pouvoir de disposer des lieux, en vertu d'un droit contractuel, d'un droit réel ou d'un rapport de droit public (ATF 128 IV 81 consid. 3a p. 84 ; arrêt du Tribunal fédéral 6B_1056/2013 du 20 août 2014 consid. 1.1) ; il peut s'agir d'une personne physique comme d'une personne morale (M. DUPUIS / L. MOREILLON / C. PIGUET / S. BERGER / M. MAZOU / V. RODIGARI, Code pénal - Petit commentaire, 2e éd., Bâle 2017, n. 5 et 20 ad art. 186). En concluant un contrat de bail, le bailleur renonce à son droit au domicile, de sorte que, pendant la durée du contrat, seul le locataire, respectivement le sous- locataire, dispose de la qualité d'ayant droit au sens de l'art. 186 CP. Au terme du contrat, le droit ne passe pas automatiquement du locataire au propriétaire, celui-là demeurant, aussi longtemps qu'il conserve la maîtrise effective des lieux qu'il occupe, seul titulaire du droit au domicile, droit qui ne cesse donc qu'à son départ. La violation du contrat de bail à loyer par le locataire touche aux prétentions de droit civil du bailleur et du propriétaire, mais n'empiète pas sur la sphère privée qui est l'objet de la liberté de domicile protégé par le droit pénal. Dans de tels cas, le bailleur ne pourra avoir recours qu'aux moyens offerts par la procédure civile et le droit de la poursuite pour dettes et faillite (ATF 112 IV 31 consid. 3 p. 33 s. ; arrêt du Tribunal fédéral 6B_1056/2013 du 20 août 2014 consid. 1.1 ; M. DUPUIS / L. MOREILLON / C. PIGUET / S. BERGER / M. MAZOU / V. RODIGARI, op. cit., n. 21 ad art. 186).</w:t>
      </w:r>
    </w:p>
    <w:p>
      <w:r>
        <w:t>3.2.2. A teneur de l'art. 262 al. 1 de la loi fédérale du 30 mars 1911, complétant le Code civil suisse (CO, Code des obligations ; RS 220), le locataire peut sous-louer tout ou partie de la chose avec le consentement du bailleur.</w:t>
      </w:r>
    </w:p>
    <w:p>
      <w:r>
        <w:t>La loi ne prescrit, en principe, aucune forme pour le contrat de bail et le contrat de sous-location qui peuvent aussi être conclus oralement. Dans certains cantons, le loyer initial doit être notifié sur le formulaire officiel, ce qui revient à prescrire la forme écrite du moins s'agissant du montant du loyer et de sa motivation. Le consentement du bailleur à la sous-location ne constitue pas une condition de validité de celle-ci et la résiliation du bail principal n'affecte pas directement le rapport de</w:t>
      </w:r>
    </w:p>
    <w:p>
      <w:r>
        <w:t>- 10/19 - P/2610/2016 sous-location qui n'est pas automatiquement résilié, le locataire devant à son tour résilier le bail de son sous-locataire, en respectant les formalités légales. Toutefois, le contrat de sous-location ne peut perdurer au-delà du bail principal. A l'échéance de celui-ci, le bailleur peut demander l'expulsion du sous-locataire auprès de l'autorité de conciliation, puis du juge. Le locataire répond envers le bailleur de tous les faits dommageables du sous-locataire, comme par exemple du fait que le sous-locataire tarde à libérer les locaux à la fin du bail principal (F. BOHNET / B. CARRON / M. MONTINI, Droit du bail à loyer et à ferme, 2e éd., Bâle 2017, n. 20, 24, 47 ss, 62 et 74 ad art. 262 ; D. LACHAT, Le bail à loyer, nouv. éd., Lausanne 2008, p. 179, 573 ss, 578 et 580 s.).</w:t>
      </w:r>
    </w:p>
    <w:p>
      <w:r>
        <w:rPr>
          <w:b/>
        </w:rPr>
        <w:t>E. 4.1</w:t>
      </w:r>
    </w:p>
    <w:p>
      <w:r>
        <w:t>p. 18 et les références citées ; M. KILLIAS / A. KUHN / N. DONGOIS, op. cit., p. 43). Le renseignement ou l'instruction par une autorité compétente est suffisante</w:t>
      </w:r>
    </w:p>
    <w:p>
      <w:r>
        <w:t>- 11/19 - P/2610/2016 pour admettre l'erreur sur l'illicéité (ATF 116 IV 56 consid. 3a p. 68 s.). Celui qui s'adresse à un conseiller juridique en raison de la nature particulièrement complexe du problème peut se voir reconnaître le bénéfice de l'erreur sur l'illicéité, à double condition que le conseiller se soit prononcé en faveur des actes commis ensuite par l'auteur et qu'il ait examiné sous tous leurs aspects juridiques l'ensemble des éléments de faits connus par l'auteur (ATF 98 IV 293 consid. 4a p. 303 dans JdT 1973 IV 143 ; M. DUPUIS / L. MOREILLON / C. PIGUET / S. BERGER / M. MAZOU / V. RODIGARI, op. cit., n. 9 ad art. 21). Dans le domaine des faits justificatifs, le fardeau de la preuve incombe au prévenu qui y satisfait en rendant vraisemblable ses allégations (arrêts du Tribunal fédéral 6B_788/2015 du 13 mai 2016 consid. 3.1 ; 6B_910/2013 du 20 janvier 2014 consid. 3.3).</w:t>
      </w:r>
    </w:p>
    <w:p>
      <w:r>
        <w:rPr>
          <w:b/>
        </w:rPr>
        <w:t>E. 4.2</w:t>
      </w:r>
    </w:p>
    <w:p>
      <w:r>
        <w:t>L'art. 113 al. 1 CPP prévoit que le prévenu n'a pas l'obligation de déposer contre lui-même et qu'il a notamment le droit de refuser de déposer et de refuser de collaborer à la procédure. La garantie que toute personne accusée d'une infraction a le droit de ne pas être contrainte de déposer contre elle-même ou de reconnaître sa culpabilité est expressément formulée à l'art. 14 al. 3 let. g Pacte ONU II et découle directement du droit à un procès équitable au sens de l'art. 6 ch. 1 CEDH. La reconnaissance juridique de ne pas répondre se limite au droit de se taire. Elle n'empêche pas que, dans un jugement fondé sur la libre appréciation des preuves au sens de l'art. 10 al. 2 CPP, le juge prenne en considération le comportement adopté par le prévenu dans le cadre de sa déposition.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 du Tribunal fédéral 6B_825/2014 du 30 octobre 2014 consid. 3.2). S'il est exclu de fonder une condamnation exclusivement ou essentiellement sur le silence du prévenu ou sur son refus de répondre à certaines questions ou de déposer, le silence d'un prévenu dans des situations qui appelleraient manifestement des explications de sa part est de nature à renforcer les charges pesant contre lui (CourEDH John Murray c. Royaume-Uni du 8 février 1996, § 49 ; ACPR/272/2012 du 3 juillet 2012). 4.3.1. En l'espèce, tout en ne contestant pas la réalisation des conditions objectives des art. 181 et 186 CP, les appelantes mettent en doute les circonstances entourant les faits du 6 février 2016.</w:t>
      </w:r>
    </w:p>
    <w:p>
      <w:r>
        <w:t>Il est tout d'abord relevé qu'un contrat de sous-location a bien été conclu, ce que les appelantes ne contestent d'ailleurs pas. Il était valable indépendamment du</w:t>
      </w:r>
    </w:p>
    <w:p>
      <w:r>
        <w:t>- 12/19 - P/2610/2016 consentement du bailleur. L'intimé C______ et D______ n'était donc pas un squatteur, ce que les appelantes ne pouvaient ignorer, dans la mesure où l'appelante B______ s'est non seulement rendue à différentes occasions à l'appartement des intimés, mais a également rencontré l'intimé à plusieurs reprises avant les faits. A cet égard, il paraît très peu vraisemblable qu'elles aient ignoré qu'il était l'époux de l'intimée, celle-ci ayant en effet déclaré l'avoir présenté en cette qualité déjà en décembre 2015. En tout état, les appelantes savaient au moins qu'il était le colocataire de l'intimée. De plus, après leur tentative infructueuse du 31 janvier 2016 d'expulser les époux C______ et D______, elles auraient dû réaliser que l'intimé n'était pas un squatteur, indépendamment du fait de savoir s'il était l'époux de l'intimée ou non. Conscientes de l'existence d'un contrat de sous-location, les appelantes, tout en ayant elles-mêmes reçu l'avis de résiliation de la part du bailleur, n'ont cependant jamais formellement résilié le contrat qui les liait aux intimés. Elles ne leur ont pas non plus adressé une commination ou fixé un délai afin d'évacuer le logement.</w:t>
      </w:r>
    </w:p>
    <w:p>
      <w:r>
        <w:t>Le 6 février 2016, les appelantes, en faisant appel à un serrurier alors que les intimés étaient absents, ont pénétré dans l'appartement de ceux-ci sans droit et y sont demeurées, empêchant les intimés d'accéder eux-mêmes à leur domicile et les obligeant à quitter les lieux. Ainsi, les appelantes ont utilisé le moyen de la violation de domicile afin d'expulser les intimés de leur logement et de mettre un terme au contrat de sous-location. Certes, ces faits se sont produits après la date marquant la fin du bail principal. Ce nonobstant, le droit au domicile ne passait pas automatiquement aux appelantes, tant que les intimés conservaient la maîtrise des locaux. A cet égard, même si les appelantes avaient valablement résilié le bail des sous-locataires, elles auraient dû faire appel au conciliateur, puis au juge et ne pas mettre les époux C______ et D______ devant le fait accompli. 4.3.2. Les appelantes ont toutefois toujours affirmé avoir été persuadées d'avoir agi correctement et se prévalent de l'erreur de droit. Il ressort du dossier qu'elles ont en vain tenté d'obtenir des conseils auprès de l'ASLOCA qui ne pouvait les aider en raison d'un conflit d'intérêt. Les appelantes prétendent avoir également demandé conseil à la police, sans toutefois apporter un quelconque élément étayant une telle allégation, se contentant d'affirmer qu'il était bien connu que la police n'établissait pas d'attestations de consultation. Outre le fait que la police ne soit pas une source de renseignements juridiques en général, elle ne peut être considérée comme une autorité compétente en matière de droit du bail à loyer. De surcroît, ayant déjà informé les appelantes le 31 janvier 2016 que l'évacuation de l'intimé C______ et D______, en tant que sous- locataire, n'était pas possible comme elles entendaient le faire, il est hautement douteux que la police leur ait donné des renseignements contraires lors d'autres</w:t>
      </w:r>
    </w:p>
    <w:p>
      <w:r>
        <w:t>- 13/19 - P/2610/2016 consultations ultérieures. Vu ce qui précède, les appelantes n'ont pas établi ni rendu vraisemblable le contenu de conseils reçus par la police, pour autant qu'ils aient été demandés. L'appelante B______ a consulté Me F______ une première fois le 5 février 2016 au sujet d'une question de droit du bail et une seconde fois le 10 février 2016. Cette deuxième consultation étant postérieure aux faits qui sont reprochés aux appelantes, elle n'a pas pu influer sur leur conception de la situation légale au moment où elles ont agi le 6 février 2016. N'ayant pas accepté de libérer Me F______ de son secret professionnel, le contenu de la première consultation ne peut en outre pas être établi. Certes, les appelantes prétendent qu'elle a porté sur la question de la sous-location et que l'avocate leur a suggéré de changer les cylindres de la serrure car une procédure civile était longue. Toutefois, aucun autre élément de la procédure ne vient confirmer ces allégations. Au contraire, les déclarations de l'appelante B______ devant le Tribunal des baux et loyer, à savoir qu'elle avait décidé de changer les cylindres de la serrure, étant donné qu'elle devait s'acquitter du loyer envers le bailleur et qu'une procédure civile contre les époux C______ et D______ était sa seule option, tendraient à prouver que Me F______ n'a pas préconisé la voie finalement suivie, étant relevé qu'il ne serait pas anodin qu'un avocat recommande la commission d'une infraction. Le fait que les appelantes ont décidé, "dans ces circonstances", de changer les cylindres de la serrure semble plutôt confirmer qu'elles étaient conscientes de l'illégalité de leur comportement, qu'elles ne souhaitaient précisément pas engager une procédure civile, qui pouvait être complexe et longue, mais préféraient imposer la fin du contrat de sous-location par la contrainte. Cela étant, seule l'audition de Me F______, sollicitée dans un premier temps par les appelantes, aurait permis d'établir les conseils qu'elle leur a dispensés. A cet égard, leur refus de la libérer de son secret professionnel soulève des doutes sérieux quant à la véracité de leurs dires s'agissant de leur description des faits à l'avocate et des conseils reçus. Il est ainsi curieux d'invoquer le droit de ne pas devoir déposer contre soi-même, étant donné que le témoignage de Me F______ constituerait, selon les appelantes, un élément à décharge. Partant, il n'est pas établi, ni même rendu vraisemblable, que les appelantes ont été induites en erreur par des personnes compétentes en la matière qui leur auraient donné des conseils erronés. Il apparaît au contraire que les appelantes étaient conscientes du fait qu'il n'était pas possible d'évacuer les intimés comme elles entendaient le faire, puisque la police les en a informées le 31 janvier 2016. L'appelante B______ a en outre déclaré qu'il lui restait comme seule option la voie de la procédure civile, ce qui tend à confirmer que les appelantes savaient quelle était la manière correcte de procéder. Le fait d'avoir agi au moment où les intimés étaient absents traduit également un malaise certain quant à la licéité de leur comportement. Le soutien offert par la police dans leurs démarches le 6 février 2016 ne permet pas non plus de parvenir à une autre</w:t>
      </w:r>
    </w:p>
    <w:p>
      <w:r>
        <w:t>- 14/19 - P/2610/2016 conclusion. Il semble en effet plus vraisemblable que les appelantes ont décrit la situation de manière incomplète, ce qui expliquerait l'étonnement des policiers de voir l'intimé C______ et D______ aussi "bien installé". Enfin, toute personne consciencieuse ne peut ignorer qu'il n'est pas permis de s'introduire chez autrui sans consentement de même que de rendre le retour des occupants du logement impossible. Dans de telles circonstances, il ne peut être question de bonne foi et d'erreur sur l'illicéité, les appelantes ayant été manifestement conscientes que leur manière de procéder était prohibée, ce qu'elles ont néanmoins préféré à la voie civile.</w:t>
      </w:r>
    </w:p>
    <w:p>
      <w:r>
        <w:rPr>
          <w:b/>
        </w:rPr>
        <w:t>E. 4.4</w:t>
      </w:r>
    </w:p>
    <w:p>
      <w:r>
        <w:t>Au vu de ce qui précède, les appelantes seront reconnues coupables de contrainte et de violation de domicile, le jugement entrepris confirmé et l'appel rejeté.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5.2.1. Aux termes de l'art. 34 aCP, en vigueur jusqu'au 31 décembre 2017, la peine pécuniaire ne peut excéder 360 jours-amende et un jour-amende se monte à CHF 3'000.- au plus. 5.2.2.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w:t>
      </w:r>
    </w:p>
    <w:p>
      <w:r>
        <w:t>- 15/19 - P/2610/2016 de ce droit (M. DUPUIS / L. MOREILLON / C. PIGUET / S. BERGER / M. MAZOU / V. RODIGARI, op. cit., n. 6 des rem. prél. ad art. 34 à 41). En particulier, la peine pécuniaire est désormais de 3 jours au moins et de 180 jours au plus (art. 34 al. 1 CP), le jour-amende étant de CHF 30.- au moins.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5.3</w:t>
      </w:r>
    </w:p>
    <w:p>
      <w:r>
        <w:t>D'après l'art. 49 al. 1 CP, si, en raison d'un ou de plusieurs actes, l'auteur remplit les conditions de plusieurs peines de même genre, le juge le condamne à la peine de l'infraction la plus grave et l'augmente dans une juste proportion.</w:t>
      </w:r>
    </w:p>
    <w:p>
      <w:r>
        <w:rPr>
          <w:b/>
        </w:rPr>
        <w:t>E. 5.4</w:t>
      </w:r>
    </w:p>
    <w:p>
      <w:r>
        <w:t>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5.5</w:t>
      </w:r>
    </w:p>
    <w:p>
      <w:r>
        <w:t>Il est admissible, le cas échéant, que la juridiction d'appel motive de manière succincte la peine infligée et renvoie à l'appréciation du jugement de première instance pour le surplus (cf. art. 82 al. 4 CPP ; ATF 141 IV 244 consid. 1.2.3 p. 246 s. ; arrêts du Tribunal fédéral 6B_984/2016 du 13 septembre 2017 consid. 3.1.6 ; 6B_1043/2016 du 19 juillet 2017 consid. 1.2).</w:t>
      </w:r>
    </w:p>
    <w:p>
      <w:r>
        <w:rPr>
          <w:b/>
        </w:rPr>
        <w:t>E. 5.6</w:t>
      </w:r>
    </w:p>
    <w:p>
      <w:r>
        <w:t>La CPAR entend se référer au jugement de première instance s'agissant de la motivation des peines, en exposant pour le surplus ce qui suit : La faute des appelantes est conséquente et leurs mobiles égoïstes. Elles ont agi au mépris de la loi et sans aucun égard pour les intimés et les difficultés auxquelles ces derniers ont été confrontés. Elles n'ont eu de cesse de minimiser et justifier leurs actes, allant jusqu'à rejeter la faute sur les intimés. Compte tenu des éléments exposés ci-dessus ainsi que par le premier juge, les peines pécuniaires retenues en première instance, non critiquées en tant que telles, consacrent une application correcte des critères fixés à l'art. 47 CP et seront confirmées.</w:t>
      </w:r>
    </w:p>
    <w:p>
      <w:r>
        <w:rPr>
          <w:b/>
        </w:rPr>
        <w:t>E. 6</w:t>
      </w:r>
    </w:p>
    <w:p>
      <w:r>
        <w:t>Les appelantes, qui succombent, supporteront les frais de la procédure d'appel, qui comprennent un émolument de jugement de CHF 1'500.- (art. 428 al. 1 CPP et art. 14</w:t>
      </w:r>
    </w:p>
    <w:p>
      <w:r>
        <w:t>- 16/19 - P/2610/2016 al. 1 let. e du règlement fixant le tarif des frais en matière pénale du 22 décembre 2010 [RTFMP ; RS/GE E 4 10.03]).</w:t>
      </w:r>
    </w:p>
    <w:p>
      <w:r>
        <w:rPr>
          <w:b/>
        </w:rPr>
        <w:t>E. 7.1</w:t>
      </w:r>
    </w:p>
    <w:p>
      <w:r>
        <w:t>Selon l'art. 433 al. 1 let. a CPP, la partie plaignante peut demander au prévenu une juste indemnité pour les dépenses obligatoires occasionnées par la procédure lorsqu'elle obtient gain de cause.</w:t>
      </w:r>
    </w:p>
    <w:p>
      <w:r>
        <w:t>La partie plaignante obtient gain de cause au sens de l’art. 433 al. 1 CPP lorsque le prévenu est condamné et/ou si les prétentions civiles sont admises.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dans SJ 2014 I 228).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(AARP/125/2012 du 30 avril 2012 consid. 4.2 ; ACPR/178/2015 du 23 mars 2015 consid. 2.1 ; cf. arrêts du Tribunal fédéral 2C_725/2010 du 31 octobre 2011 consid. 3 ; 2C_25/2008 du 18 juin 2008 consid. 3, en matière d'assistance juridique, faisant référence aux tarifs usuels d'un conseil de choix à Genève). L'indemnité fondée sur l'art. 433 CPP pour les dépenses obligatoires occasionnées par la procédure ne produit pas d'intérêts (ATF 143 IV 495 consid. 2.2.4. p. 497 ss).</w:t>
      </w:r>
    </w:p>
    <w:p>
      <w:r>
        <w:rPr>
          <w:b/>
        </w:rPr>
        <w:t>E. 7.2</w:t>
      </w:r>
    </w:p>
    <w:p>
      <w:r>
        <w:t>Les intimés ayant obtenu gain de cause en appel, vu la confirmation du verdict de culpabilité, le principe de l'indemnisation de leurs dépenses obligatoires pour la procédure d'appel leur est acquis. Une durée totale de 8h pour la rédaction du mémoire de réponse ne paraît cependant pas justifiée, dans la mesure où le dossier est censé être bien connu pour avoir été</w:t>
      </w:r>
    </w:p>
    <w:p>
      <w:r>
        <w:t>- 17/19 - P/2610/2016 plaidé en première instance et où les intimés ne demandent que la confirmation du jugement querellé. La CPAR retiendra donc 5h. L'indemnité, qui ne produit pas d'intérêts, sera ainsi arrêtée à CHF 2'419.20, correspondant à 5h36 d'activité au tarif de CHF 400.-/heure, plus l'équivalent de la TVA au taux de 8%, selon la pratique transitoire du Pouvoir judiciaire, en CHF 179.20.</w:t>
      </w:r>
    </w:p>
    <w:p>
      <w:r>
        <w:rPr>
          <w:b/>
        </w:rPr>
        <w:t>E. 7.3</w:t>
      </w:r>
    </w:p>
    <w:p>
      <w:r>
        <w:t>Vu l'issue de la procédure d'appel, les conclusions en indemnisation des appelantes seront rejetées (art. 429 CPP). * * * * *</w:t>
      </w:r>
    </w:p>
    <w:p>
      <w:r>
        <w:t>- 18/19 - P/2610/2016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