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AARP/175/2015 vom 2. April 2015</w:t>
      </w:r>
    </w:p>
    <w:p>
      <w:r>
        <w:t>GE Cour de justice, 2015-04-02, FR</w:t>
      </w:r>
    </w:p>
    <w:p>
      <w:r>
        <w:rPr>
          <w:b/>
        </w:rPr>
        <w:t xml:space="preserve">Quelle: </w:t>
      </w:r>
      <w:r>
        <w:t>https://mcp.opencaselaw.ch/entscheid/ge_gerichte_AARP_175_2015</w:t>
      </w:r>
    </w:p>
    <w:p>
      <w:r>
        <w:t>FR: GE_GERICHTE AARP/175/2015 du 2 avril 2015</w:t>
      </w:r>
    </w:p>
    <w:p>
      <w:r>
        <w:t>IT: GE_GERICHTE AARP/175/2015 del 2 aprile 2015</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- 6/15 - P/573/2014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3.1</w:t>
      </w:r>
    </w:p>
    <w:p>
      <w:r>
        <w:t>Selon l'art. 19a ch. 1 LStup, celui qui, sans droit, aura consommé intentionnellement des stupéfiants ou celui qui aura commis une infraction à l'art. 19 LStup pour assurer sa propre consommation est passible de l'amende.</w:t>
      </w:r>
    </w:p>
    <w:p>
      <w:r>
        <w:t>Aux termes du chiffre 2, dans les cas bénins, l'autorité compétente pourra suspendre la procédure ou renoncer à infliger une peine. Une réprimande peut être prononcée.</w:t>
      </w:r>
    </w:p>
    <w:p>
      <w:r>
        <w:t>La seule condition mise par la loi à l'application de l'art. 19a LStup est que les infractions de l'auteur ne soient en aucune manière destinées à assurer la consommation de tiers (ATF 102 IV 125).</w:t>
      </w:r>
    </w:p>
    <w:p>
      <w:r>
        <w:rPr>
          <w:b/>
        </w:rPr>
        <w:t>E. 3.2</w:t>
      </w:r>
    </w:p>
    <w:p>
      <w:r>
        <w:t>En l'espèce, l'appelant prétend avoir détenu le 12 janvier 2014 des boulettes de cocaïne pour le compte d'un tiers, et non pas pour assurer sa propre consommation, si</w:t>
      </w:r>
    </w:p>
    <w:p>
      <w:r>
        <w:t>- 7/15 - P/573/2014 bien que l'application de l'art. 19a LStup est exclue. Bien qu'il ne soit pas pertinent de déterminer les réelles intentions de l'appelant quant à la destination finale des boulettes trouvées en sa possession, l'appelant ayant été condamné pour détention de substance illicite, il sera toutefois souligné que les explications qu'il a données apparaissent peu crédibles, dès lors qu'il a déjà fait l'objet d'une condamnation pour infraction à la Lstup, qu'il a été interpellé quelques jours avant les faits, soit le 1er février 2014, en possession d'une boulette de cocaïne et qu'il n'a su donner aucune explication plausible sur la provenance douteuse de la somme de CHF 160.- retrouvée sur lui lors de son interpellation le 4 février 2014.</w:t>
      </w:r>
    </w:p>
    <w:p>
      <w:r>
        <w:t>Pour ces motifs, le jugement du tribunal de première instance sera confirmé.</w:t>
      </w:r>
    </w:p>
    <w:p>
      <w:r>
        <w:rPr>
          <w:b/>
        </w:rPr>
        <w:t>E. 4.1</w:t>
      </w:r>
    </w:p>
    <w:p>
      <w:r>
        <w:t>L'art. 286 al. 1 CP punit celui qui aura empêché une autorité, un membre d'une autorité ou un fonctionnaire d'accomplir un acte entrant dans ses fonctions.</w:t>
      </w:r>
    </w:p>
    <w:p>
      <w:r>
        <w:t>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w:t>
      </w:r>
    </w:p>
    <w:p>
      <w:r>
        <w:t>L'infraction se distingue tant de celle prévue à l'art. 285 CP, en ce que l'auteur ne recourt ni à la violence ni à la menace, que de celle visée à l'art. 292 CP, car une simple désobéissance ne suffit pas. Le seul fait d'exprimer son désaccord à l'endroit d'un acte entrepris par un fonctionnaire, mais sans l'entraver, ne suffit pas (ATF 105 IV 48 consid. 3 p. 49).</w:t>
      </w:r>
    </w:p>
    <w:p>
      <w:r>
        <w:t>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w:t>
      </w:r>
    </w:p>
    <w:p>
      <w:r>
        <w:t>L'infraction réprimée à l'art. 286 CP requiert l'intention ; le dol éventuel suffit.</w:t>
      </w:r>
    </w:p>
    <w:p>
      <w:r>
        <w:rPr>
          <w:b/>
        </w:rPr>
        <w:t>E. 4.2</w:t>
      </w:r>
    </w:p>
    <w:p>
      <w:r>
        <w:t>Les versions des faits données par les parties sur le déroulement de l'interpellation ayant eu lieu le 4 février 2014 sont divergentes. Il ressort du rapport</w:t>
      </w:r>
    </w:p>
    <w:p>
      <w:r>
        <w:t>- 8/15 - P/573/2014 d'arrestation que l'appelant a tenté de prendre la fuite et que l'usage de la force a été nécessaire afin de lui passer les menottes ; il s'est débattu en gesticulant et en tentant de frapper les forces de l'ordre. L'appelant soutient en appel que l'ordre de s'arrêter ne lui a pas été signifié et qu'il s'est débattu afin d'échapper à une strangulation pratiquée par un policier.</w:t>
      </w:r>
    </w:p>
    <w:p>
      <w:r>
        <w:t>Outre que les explications données sur le tard par l'appelant apparaissent peu crédibles, il sied de constater qu'il a admis lors du premier interrogatoire s'être opposé à son interpellation. Ce n'est que par la suite qu'il a expliqué ne pas avoir été sommé de s'arrêter et s'être débattu afin de se défendre, notamment d'une prise au cou. Ces explications apparaissent par conséquent comme étant de circonstance, afin de justifier son attitude. De plus, aucun certificat médical ou autre élément de preuve pouvant attester d'éventuelles marques de strangulation ne figurent au dossier.</w:t>
      </w:r>
    </w:p>
    <w:p>
      <w:r>
        <w:t>Dans ces circonstances, rien ne permet de mettre en doute la crédibilité du rapport de police et, par conséquent, l'intention de l'appelant d'échapper au contrôle initié par les forces de l'ordre.</w:t>
      </w:r>
    </w:p>
    <w:p>
      <w:r>
        <w:t>Pour ces motifs, le jugement du tribunal de première instance sera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5.1.2.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w:t>
      </w:r>
    </w:p>
    <w:p>
      <w:r>
        <w:t>- 9/15 - P/573/2014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 du Tribunal 6B_128/2011 du 14 juin 2011 consid. 3.1).</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t>La jurisprudence fédérale considère que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(arrêts du Tribunal fédéral 6B_525/2014 du 9 octobre 2014 consid. 2 et 6B_541/2007 du 13 mai 2008 consid. 4.2.4).</w:t>
      </w:r>
    </w:p>
    <w:p>
      <w:r>
        <w:t>5.1.3.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5.1.4. La directive sur le retour 2008/115/CE,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w:t>
      </w:r>
    </w:p>
    <w:p>
      <w:r>
        <w:t>- 10/15 - P/573/2014 consid. 1.1), ne s'opposent pas au principe de la poursuite pénale d'un étranger, dans un Etat membre, du chef de séjour illégal. Seul le type de sanction susceptible d'être infligé est limité, la CJUE ayant précisé que si la directive sur le retour 2008/115/CE ne s'oppose pas à une condamnation à une peine pécuniaire réprimant le séjour irrégulier d'un ressortissant d'Etat tiers dès lors qu'une telle peine n'est pas de nature à entraver ou retarder la procédure de retour, une peine privative de liberté ne peut en revanche être prononcée que si la procédure administrative de renvoi a été menée à son terme sans succès et que le ressortissant étranger demeure sur le territoire sans motif justifié de non-retour (CJUE, arrêts du 6 décembre 2012 C-430/11 Sagor et du 28 avril 2011 C-61/11 PPU El Dridi ; arrêts du Tribunal fédéral 6B_787/2014 du 27 novembre 2014 consid. 2.1 et 6B_173/2013 du 19 août 2013 consid. 1.4).</w:t>
      </w:r>
    </w:p>
    <w:p>
      <w:r>
        <w:t>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w:t>
      </w:r>
    </w:p>
    <w:p>
      <w:r>
        <w:t>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3e éd. 2012, n. 12 ad art. 115 LEtr ; T. HUGI YAR, Das Urteil El Dridi, die EU- Rückkührungsrichtlinie und der Schengen-Besitzstand, Jusletter du 11 juillet 2011, note 11, arrêt du Tribunal fédéral 6B_320/2013 du 29 août 2013 consid. 3.2.).</w:t>
      </w:r>
    </w:p>
    <w:p>
      <w:r>
        <w:t>En raison de l'épidémie d'Ebola, l'ODM a décidé en date du 7 novembre 2014 de suspendre les renvois de demandeurs d'asile déboutés vers la Sierra Leone, la Guinée et le Liberia (voir arrêt du Tribunal administratif fédéral E_6379/2014 du 17 novembre 2014). Les départs volontaires restent possibles.</w:t>
      </w:r>
    </w:p>
    <w:p>
      <w:r>
        <w:rPr>
          <w:b/>
        </w:rPr>
        <w:t>E. 5.2</w:t>
      </w:r>
    </w:p>
    <w:p>
      <w:r>
        <w:t>Après avoir été expulsé le 12 décembre 2013 en Belgique, et malgré l'interdiction d'entrer et de séjourner sur le territoire qui lui avait été notifiée par les autorités administratives, l'appelant est revenu en Suisse, dépourvu de moyens de subsistance et de possibilités de logement. Les précédentes condamnations pour infractions à la LStup et à la LEtr n'ont eu aucun effet dissuasif sur la volonté délictuelle de l'appelant, qui a récidivé. Pour ces motifs, le pronostic quant à son comportement futur est défavorable et il se justifie de prononcer une peine ferme.</w:t>
      </w:r>
    </w:p>
    <w:p>
      <w:r>
        <w:t>Dès lors que l'appelant a commis d'autres délits en dehors du droit pénal des étrangers, sa condamnation à une peine privative de liberté n'est pas d'emblée exclue.</w:t>
      </w:r>
    </w:p>
    <w:p>
      <w:r>
        <w:t>- 11/15 - P/573/2014</w:t>
      </w:r>
    </w:p>
    <w:p>
      <w:r>
        <w:t>Elle se justifie par ailleurs dès lors qu'en raison de la situation administrative de l'appelant une peine de travail d'intérêt général ne peut être prononcée et que les peines pécuniaires auxquelles il a été condamné par le passé n'ont pas eu l'efficacité préventive attendue.</w:t>
      </w:r>
    </w:p>
    <w:p>
      <w:r>
        <w:t>De plus, pour les raisons citées supra (3.2), il ne saurait être fait application de l'art. 19a ch. 2 LStup pour les faits reprochés dans l'ordonnance pénale du 14 janvier 2014.</w:t>
      </w:r>
    </w:p>
    <w:p>
      <w:r>
        <w:t>La peine privative de liberté ferme prononcée par le premier juge sera par conséquent confirmée.</w:t>
      </w:r>
    </w:p>
    <w:p>
      <w:r>
        <w:t>La quotité de la peine privative de liberté prononcée par le premier juge est adéquate, et conforme aux éléments figurants au dossier, étant rappelé que l'appelant a été arrêté en possession de plusieurs boulettes de cocaïne, soit de drogue dite "dure", qui n'étaient pas destinées à sa propre consommation, prenant ainsi le risque de mettre en danger la santé de tiers. Il a agi par appât d'un gain facile, et dans le déni des règles de droit suisse, qu'il connaissait pour avoir été déjà condamné par le passé. Il sera rappelé que pour la période pénale, il n'existait aucun empêchement extérieur au retour de l'appelant dans son pays d'origine, dès lors que la Guinée collabore avec la Suisse à la réintégration de ses ressortissants et qu'il n'était pas encore dangereux de se rendre dans ce pays en raison des risques sanitaires liés à l'épidémie d'Ebola. Par conséquent, l'appelant est le seul responsable de la situation créée.</w:t>
      </w:r>
    </w:p>
    <w:p>
      <w:r>
        <w:t>Pour ces motifs, la peine privative de liberté ferme de trois mois prononcée par le premier juge sera confirmée.</w:t>
      </w:r>
    </w:p>
    <w:p>
      <w:r>
        <w:rPr>
          <w:b/>
        </w:rPr>
        <w:t>E. 6</w:t>
      </w:r>
    </w:p>
    <w:p>
      <w:r>
        <w:t>L'appelant, qui succombe, supportera les frais de la procédure envers l'Etat, comprenant un émolument de décision de CHF 1'500.-.</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w:t>
      </w:r>
    </w:p>
    <w:p>
      <w:r>
        <w:t>Au regard de ce qui précède, la CPAR est compétente, au sens de l'art. 135 al. 2 CPP, que pour statuer sur l'activité postérieure à sa saisine, le 12 décembre 2014.</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w:t>
      </w:r>
    </w:p>
    <w:p>
      <w:r>
        <w:t>- 12/15 - P/573/2014 notamment de la nature, de l'importance et des difficultés de la cause, de la valeur litigieuse, de la qualité du travail fourni et du résultat obtenu (art. 16 al. 2 RAJ).</w:t>
      </w:r>
    </w:p>
    <w:p>
      <w:r>
        <w:t>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Me B______ a été désignée défenseur d'office de l'appelant le 20 janvier 2014.</w:t>
      </w:r>
    </w:p>
    <w:p>
      <w:r>
        <w:t>Elle a déposé devant la CPAR un état de frais pour l'activité déployée du 2 au 23 février 2015, pour 4 heures 15 d'activité, soit 1 heure de conférence avec son mandant, 2 heures 15 pour la rédaction du mémoire d'appel et 1 heure consacrée à la consultation du dossier</w:t>
      </w:r>
    </w:p>
    <w:p>
      <w:r>
        <w:t>La totalité des heures sera retenue, dès lors que le temps employé par Me B______ à la défense de son client apparaît adéquat, de même que le tarif pratiqué.</w:t>
      </w:r>
    </w:p>
    <w:p>
      <w:r>
        <w:t>Par conséquent, l'état de frais sera admis à concurrence de 4 heures 15 d'activité de chef d'étude, ce qui correspond à une indemnité de base de CHF 850.-. Il convient d'ajouter à ce montant l'indemnisation forfaitaire de 20%, soit CHF 170.-, ainsi que la la TVA, soit CHF 81.60. * * * * *</w:t>
      </w:r>
    </w:p>
    <w:p>
      <w:r>
        <w:t>- 13/15 - P/573/2014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