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AARP/173/2014 vom 15. April 2014</w:t>
      </w:r>
    </w:p>
    <w:p>
      <w:r>
        <w:t>GE Cour de justice, 2014-04-15, FR</w:t>
      </w:r>
    </w:p>
    <w:p>
      <w:r>
        <w:rPr>
          <w:b/>
        </w:rPr>
        <w:t xml:space="preserve">Quelle: </w:t>
      </w:r>
      <w:r>
        <w:t>https://mcp.opencaselaw.ch/entscheid/ge_gerichte_AARP_173_2014</w:t>
      </w:r>
    </w:p>
    <w:p>
      <w:r>
        <w:t>FR: GE_GERICHTE AARP/173/2014 du 15 avril 2014</w:t>
      </w:r>
    </w:p>
    <w:p>
      <w:r>
        <w:t>IT: GE_GERICHTE AARP/173/2014 del 15 aprile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- 11/20 - P/4074/2013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2.2.2 Selon la première variante,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(S. HEIMGARTNER, Strafrecht II, Basler Kommentar, 2e éd., 2007, n. 5 ad art. 285 CP ; B. CORBOZ, Les infractions en droit suisse, vol. II, 2010, n. 9 ad art. 285 CP).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op. cit., vol I, n. 4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Pour certains auteurs, la création d'un obstacle matériel comme fermer la porte à clé ou ériger des barricades tombent sous le coup de l'art. 285 CP (B. CORBOZ, op. cit., vol II, n. 4 ad art. 285 CP ; G. STRATENWERTH / F. BOMMER, Schweizerisches Strafrecht, Besonderer Teil II : Straftaten gegen Gemeininteressen, 6e éd., 2008, § 50 n. 20), alors que, d'après d'autres auteurs, de tels actes ne sauraient être qualifiés d'actes de violence au sens de l'art. 285 CP, mais constituent des actes d'opposition selon l'art. 286 CP (S. TRECHSEL, Schweizerisches Strafgesetzbuch : Praxiskommentar, Zurich/Saint-Gall 2008, n. 3 ad art. 285 ; S. HEIMGARTNER, op. cit., n. 7 ad art. 285 CP). Enfin, la violence doit atteindre le fonctionnaire, mais non un tiers (S. HEIMGARTNER, op. cit., n. 9 ad art. 285 CP).</w:t>
      </w:r>
    </w:p>
    <w:p>
      <w:r>
        <w:t>- 12/20 - P/4074/2013 La menace correspond à celle de l'art. 180 CP, même s'il n'est pas précisé qu'elle doit porter sur un dommage sérieux (arrêt du Tribunal fédéral 6B_257/2010 du 5 octobre 2010 consid. 5.1 ; B. CORBOZ, op. cit., vol. II, n. 5 ad art. 285 CP ; S. HEIMGARTNER, op. cit., n. 10 ad art. 285). Elle peut être expresse ou non et communiquée par n'importe quel moyen. Elle peut être exprimée oralement, par écrit ou par un comportement concluant ; elle peut être transmise par un intermédiaire ; il faut analyser le comportement de l'auteur dans son ensemble pour dire s'il en résulte une menace, celle-ci pouvant être sous-entendue (B. CORBOZ, op. cit., vol. I, n. 9 ad art. 181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vol. II, n. 11 ad art. 285 CP). 2.2.3 L'art. 285 al. 1 CP réprime également le comportement de celui qui se sera livré à des voies de fait sur un membre d'une autorité ou un fonctionnaire pendant qu'il procédait à un acte entrant dans ses fonctions. L'art. 285 CP n'exige pas que l'auteur essaie d'empêcher l'acte officiel par les voies de fait. Il peut s'agir d'une pure réaction de colère, sans aucun espoir de modifier le cours des événements. Il suffit que le membre de l'autorité ou le fonctionnaire agisse en cette qualité dans le cadre de sa mission officielle et que c'est en raison de cette activité que l'auteur se livre à des voies de fait sur lui (B. CORBOZ, op. cit., vol. II, n. 17 ad art. 285 ; S. TRECHSEL, op. cit, n. 8 ad art. 285 CP). En revanche, l'art. 285 CP n'est pas applicable si l'auteur règle un compte privé avec le fonctionnaire, mais à un moment où celui-ci est en fonction (ATF 110 IV 91 consid. 2 p. 92, arrêt du Tribunal fédéral 6B_834/2008 du 20 janvier 2009 consid. 3.1).</w:t>
      </w:r>
    </w:p>
    <w:p>
      <w:r>
        <w:rPr>
          <w:b/>
        </w:rPr>
        <w:t>E. 2.3</w:t>
      </w:r>
    </w:p>
    <w:p>
      <w:r>
        <w:t>Le séjour illégal au sens de l'art. 115 al. 1 let. b LEtr est un délit de durée, un délit continu. L'infraction est achevée au moment où le séjour prend fin (ATF 135 IV 6 consid. 3.2). L'infraction peut être à nouveau commise si, après avoir été jugé pour de tels faits, le condamné poursuit ou renouvelle son séjour illégal en Suisse. Le principe de la faute suppose toutefois la liberté d'agir autrement. Ainsi, l'on ne pourra pas reprocher pénalement à un ressortissant étranger séjournant illégalement en Suisse de n'avoir pas quitté le pays s'il se trouvait objectivement dans l'incapacité de le faire et de rentrer dans son pays d'origine, malgré le respect de ses devoirs et obligations envers les autorités de migration (G. D'ADDARIO DI PAOLO / L. VETTERLI, Bundesgesetz über die Ausländerinnen und Ausländer, Stämpfli Verlag AG, Bern, 2010, n. 27/28 ad art. 115 LEtr - arrêts du Tribunal fédéral 6B_783/2011 du 2 mars 2012 consid. 1.3 ; 6B_482/2010 du 7 octobre 2010 consid. 3.2.2 ; 6B_85/2007 du 3 juillet 2007 consid. 2.3).</w:t>
      </w:r>
    </w:p>
    <w:p>
      <w:r>
        <w:t>- 13/20 - P/4074/2013 2.4.1 En l'espèce, il est établi que le policier qui s'est présenté devant l'appelant l'a hélé en prononçant ses nom et prénom en vue de l'interpeller. Il est également établi que l'appelant a voulu s'enfuir en repoussant violemment la personne présente devant lui, la violence du coup ayant failli causer la chute du policier. Ce dernier a pu s'agripper à l'écharpe de l'appelant, laissant ainsi le temps à l'appointé E______ de balayer ses jambes, celui-ci ayant rappelé, ou à tout le moins annoncé, qu'il s'agissait de la police. L'appelant cachait ses mains sous son corps durant son menottage et résistait. En effet, les policiers craignant, non sans raison comme l'a révélé par la suite la fouille, que l'appelant soit muni d'une arme, ont dû user de la force pour parvenir à leurs fins. Il doit donc être retenu que, indépendamment de ce qu'il a pu comprendre lorsque l'appointé D______ s'est présenté à lui, l'appelant, a, à tout le moins, rapidement réalisé qu'il était interpellé par la police, qu'il a empêché de procéder à son arrestation en gardant ses mains sous sa personne, ceci étant ressenti comme une menace par les gendarmes. Les forces de l'ordre ont donc dû adapter leur comportement à celui de l'appelant, l'interpellation ayant nécessité le concours de deux autres personnes. Ces éléments réalisent la première variante de l'art. 285 CP. 2.4.2 Malgré les témoignages contradictoires sur ce sujet, il est en définitive établi que l'appointé D______ ne portait pas de plaque de police sur sa personne, comme il l'a lui-même déclaré devant les premiers juges. Il semblerait également qu'il ne portait pas de brassard au regard des témoignages des appointés E______ et F______, le quartier étant hostile aux forces de l'ordre et il apparaissait judicieux d'intervenir le plus discrètement possible selon le sous-brigadier G______. La même conclusion s'impose en ce qui concerne le mot "police" prononcé par l'appointé D______, ce dernier ayant précisé devant le tribunal qu'il n'avait pas eu le temps de le prononcer, ce que confirme également le sous-brigadier G_______. Toutefois, le comportement de l'appelant montre qu'il savait parfaitement à qui il avait affaire, admettant lui-même qu'il n'était pas dans l'ordre des choses qu'un parfait inconnu se présente à lui et l'invective en prononçant son nom et son prénom. Il se savait aussi en situation irrégulière en Suisse et recherché. Voulant fuir, il a assené un coup de poing à son interlocuteur, ce que confirme l'appointé E______, sans que le coup porté ne cause de lésions visibles. Partant, la Chambre de céans retient que l'appelant s'est sciemment livré à des voies de faits sur un policier qui tentait de l'appréhender, réalisant ainsi la deuxième variante de la disposition légale précitée. L'appel sera rejeté sur ce point.</w:t>
      </w:r>
    </w:p>
    <w:p>
      <w:r>
        <w:rPr>
          <w:b/>
        </w:rPr>
        <w:t>E. 2.5</w:t>
      </w:r>
    </w:p>
    <w:p>
      <w:r>
        <w:t>L'appelant a admis se trouver illégalement en Suisse. Il a un passeport, qu'il refuse de porter sur lui, nécessairement pour ne pas faciliter son refoulement. L'appelant avait donc d'autres choix que de rester sur le territoire helvétique.</w:t>
      </w:r>
    </w:p>
    <w:p>
      <w:r>
        <w:t>- 14/20 - P/4074/2013 L'appel sera rejeté sur ce point, étant précisé que la période pénale à prendre en considération est celle courant du 30 janvier au 14 mars 2013. En effet, l'appelant a déjà été condamné par Ordonnance pénale du Minière public du 29 janvier 2013 pour la période du 24 décembre 2012 au 28 janvier 2013 et il était détenu le 29 janvier 2013.</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rPr>
          <w:b/>
        </w:rPr>
        <w:t>E. 3.2</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w:t>
      </w:r>
    </w:p>
    <w:p>
      <w:r>
        <w:t>- 15/20 - P/4074/2013</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3.4</w:t>
      </w:r>
    </w:p>
    <w:p>
      <w:r>
        <w:t>De même qu'une aggravation de la peine, une qualification juridique plus grave des faits viole l'interdiction de la reformatio in pejus consacrée par l'art. 391 al. 2, 1ère phrase, CPP. Tel est le cas tant lorsque l'infraction nouvellement qualifiée est sanctionnée par la loi d'une peine, minimale ou maximale, plus lourde, que lorsque des infractions supplémentaires sont retenues. Il en va de même si, en appel, le condamné est déclaré coupable de l'infraction consommée en lieu et place de la tentative ou encore comme co-auteur au lieu de complice. L'existence d'une reformatio in pejus non conforme doit être examinée à l'aune du dispositif. Il n'est, en revanche, pas interdit à l'autorité de recours (Rechtsmittel) de s'exprimer dans ses considérants sur la qualification juridique lorsque le tribunal de première instance s'est fondé sur un autre état de fait ou des considérations juridiques erronées (ATF 139 IV 282 consid. 2.5 ss). 3.5.1 L'art. 50 CP impose au juge d'indiquer les circonstances pertinentes pour la fixation de la peine et leur importance. Cette disposition codifie la jurisprudence relative à la motivation de la peine rendue en application de l'art. 63 aCP, laquelle conserve donc son actualité (arrêts du Tribunal fédéral 6B_143/2007 du 25 juin 2007 consid. 8.2 et 6B_14/2007 du 17 avril 2007 consid. 5.3). Il en découle que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(ATF 127 IV 101 consid. 2c p. 105 ; arrêt du Tribunal fédéral 6B_762/2009 du 4 décembre 2009 consid. 3.1). Plus la peine est élevée, plus la motivation doit être complète. Cela vaut surtout lorsque la peine, dans le cadre légal, apparaît comparativement très élevée (ATF 134 IV 17 consid. 2.1 p. 20 ; 127 IV 101 consid. 2c p. 105 ; ATF 6B_260/2008 du 10 octobre 2008 consid. 2.2). 3.5.2 En matière de séjour illégal, le Tribunal fédéral a jugé que lorsque la situation irrégulière qui doit faire l'objet d'un deuxième jugement procède de la même</w:t>
      </w:r>
    </w:p>
    <w:p>
      <w:r>
        <w:t>- 16/20 - P/4074/2013 intention que celle qui a présidé aux faits déjà jugés, la somme des peines prononcées à raison du délit continu doit être adaptée à la faute considérée dans son ensemble et ne pas excéder la peine maximale prévue par la loi (ATF 135 IV 6 consid. 4).</w:t>
      </w:r>
    </w:p>
    <w:p>
      <w:r>
        <w:rPr>
          <w:b/>
        </w:rPr>
        <w:t>E. 3.6</w:t>
      </w:r>
    </w:p>
    <w:p>
      <w:r>
        <w:t>Pour l'octroi du sursis, respectivement du sursis partiel,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3.7</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En revanche, la perpétration d'une seule contravention ne permet pas la réintégration, à moins qu'elle ne corresponde simultanément à la violation d'une règle de conduite (art. 95 al. 5 CP ; cf. ATF 128 IV 3 consid. 4b p. 8 à propos de la révocation du sursis).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w:t>
      </w:r>
    </w:p>
    <w:p>
      <w:r>
        <w:rPr>
          <w:b/>
        </w:rPr>
        <w:t>E. 3.8</w:t>
      </w:r>
    </w:p>
    <w:p>
      <w:r>
        <w:t>En l'espèce, la faute de l'appelant est importante. Il s'est attaqué lâchement, avec un comparse, à une personne seule dans un lieu isolé. Le déchaînement de violence gratuite envers B______ est inexplicable. L'appelant a également, malgré tous les avertissements reçus, persisté à résider en Suisse sans droit, cachant même son passeport pour entraver le bon fonctionnement de la justice. Enfin, il a donné, sans</w:t>
      </w:r>
    </w:p>
    <w:p>
      <w:r>
        <w:t>- 17/20 - P/4074/2013 droit, un coup de poing à un représentant des forces de l'ordre et résisté à son interpellation en cachant ses mains sous son corps, ce qui a été ressenti comme une menace par les agents. Son mobile relève de l'appât du gain, alors qu'il a de la famille qui peut l'aider. Il a également, par convenance personnelle, voulu fausser compagnie aux policiers venus l'appréhender et fait preuve d'un mépris patent de l'ordre juridique en résidant illégalement en Suisse. Sa collaboration à la procédure a été médiocre. Bien qu'il ait reconnu être l'un des auteurs de l'agression de B______ – ne pouvant faire autrement vu l'identification de son profil ADN – il a persisté à en contester tous les éléments périphériques, notamment la violence exercée à l'égard de la victime. Ses excuses ne peuvent donc être que très circonstancielles. Il a contesté être l'auteur des autres infractions, mentant sur les circonstances entourant son interpellation et accusant les policiers d'actes graves. Il a été condamné à sept reprises, notamment pour violation de la législation sur les étrangers et n'a pas jugé utile de donner suite à l'interdiction d'entrée sur le territoire prononcée à son encontre. Sa culpabilité est importante. L'appelant ne saurait, partant, être mis au bénéfice d'une exemption de peine. Pour le surplus, l'absence de décision de renvoi à son encontre ne saurait constituer un fait justificatif, l'appelant n'étant pas contraint de demeurer en Suisse.</w:t>
      </w:r>
    </w:p>
    <w:p>
      <w:r>
        <w:rPr>
          <w:b/>
        </w:rPr>
        <w:t>E. 3.9</w:t>
      </w:r>
    </w:p>
    <w:p>
      <w:r>
        <w:t>Il n'est pas nécessaire que l'autorité de jugement pénale détaille arithmétiquement les éléments pertinents retenus pour la fixation de la peine, dans la mesure où la motivation permet de saisir que tous les éléments importants ont été pris en considération (ATF 127 IV 101 consid. 2c). Cependant, vu l'ATF 135 IV 6 précité, il convient d'identifier les peines subies par l'appelant en raison des infractions à la loi sur les étrangers afin d'éviter que le plafond d'une année prévu par la disposition topique ne soit dépassé. L'appelant a été condamné le 11 décembre 2011 pour entrée illégale, point de départ de la période pénale. Il faut en effet considérer que les séjours illégaux antérieurs à cette date ne relèvent pas de la même intention, l'appelant ayant choisi de quitter puis de revenir sur le territoire suisse. Postérieurement à la date de son retour, l'appelant a été l'objet de trois condamnations totalisant huit mois de peine privative de liberté portant exclusivement sur des infractions à la législation sur les étrangers. Dans les autres cas, eu égard à la gravité plus importante des infractions autres que les violations de la LEtr, il faut retenir que la part des peines cumulées sanctionnant ces derniers délits est de l'ordre de deux mois.</w:t>
      </w:r>
    </w:p>
    <w:p>
      <w:r>
        <w:t>- 18/20 - P/4074/2013 Contrairement à ce qu'a retenu le premier juge, il n'y a pas lieu à prononcer une peine complémentaire, la Chambre de céans n'ayant pas à juger d'infractions qui auraient, par hypothèse, été commises avant la précédente condamnation de l'appelant. Toutefois, en respect avec le principe de la prohibition de la reformatio in pejus, il sied de ne pas condamner plus durement l'appelant pour autant. Il y a concours d'infractions. Eu égard à l'ensemble des circonstances, le prononcé d'une peine privative d'ensemble de deux ans et trois mois est adéquat, révocation de la libération conditionnelle comprise (cf. infra consid. 3.11), dont un mois sanctionnant le séjour illégal, de sorte que les peines cumulées prononcées à ce jour à l'encontre de l'appelant ne dépassant pas la peine menace de l'art. 115 al. 1 LEtr. Le jugement entrepris sera réformé dans ce sens.</w:t>
      </w:r>
    </w:p>
    <w:p>
      <w:r>
        <w:rPr>
          <w:b/>
        </w:rPr>
        <w:t>E. 3.10</w:t>
      </w:r>
    </w:p>
    <w:p>
      <w:r>
        <w:t>L'absence de moyens de subsistance de l'appelant en Suisse, son statut administratif précaire et ses antécédents spécifiques fondent un pronostic clairement défavorable. Ses récentes fiançailles ne paraissent, en l'état, pas avoir eu un effet structurant. Rien ne montre qu'il ait plus pris maintenant conscience de ses fautes qu'auparavant. Ses projets d'avenir sont flous. Il est à ce propos douteux qu'il ait des chances de s'amender en déménageant dans un pays dans lequel, a priori, il n'a pas non plus le droit de résider, à supposer encore que sa fiancée veuille bien le suivre. L'appelant se verra ainsi refuser le bénéfice du sursis, fût-il partiel.</w:t>
      </w:r>
    </w:p>
    <w:p>
      <w:r>
        <w:rPr>
          <w:b/>
        </w:rPr>
        <w:t>E. 3.11</w:t>
      </w:r>
    </w:p>
    <w:p>
      <w:r>
        <w:t>Les éléments retenus pour le refus du sursis valent mutatis mutandis en ce qui concerne la révocation de la libération conditionnelle octroyée par le TAPEM le 19 mars 2012. L'appelant n'a fait que très peu de cas de la confiance octroyée, commettant, entre autres, un vol d'usage moins de six mois plus tard. Par ailleurs, il s'entête à demeurer là où il n'en a pas le droit.</w:t>
      </w:r>
    </w:p>
    <w:p>
      <w:r>
        <w:rPr>
          <w:b/>
        </w:rPr>
        <w:t>E. 4</w:t>
      </w:r>
    </w:p>
    <w:p>
      <w:r>
        <w:t>Les motifs ayant conduit le premier juge à prononcer, par ordonnance séparée du 16 juillet 2013, le maintien de l'appelant en détention pour des motifs de sûreté sont toujours d'actualité, ce que celui-ci ne conteste au demeurant pas, de sorte que la mesure sera reconduite mutatis mutandis (ATF 139 IV 277 consid. 2.2 à 2.3).</w:t>
      </w:r>
    </w:p>
    <w:p>
      <w:r>
        <w:rPr>
          <w:b/>
        </w:rPr>
        <w:t>E. 5</w:t>
      </w:r>
    </w:p>
    <w:p>
      <w:r>
        <w:t>L’appelant, qui n'obtient que partiellement gain de cause, supportera les trois quarts des frais de la procédure d'appel, comprenant dans leur totalité un émolument de CHF 1'600.–, le solde étant laissé à la charge de l’Etat (art. 428 CPP et art. 14 al. 1 let. e du Règlement fixant le tarif des frais en matière pénale [RTFMP ; RS E 4 10.03]). * * * * *</w:t>
      </w:r>
    </w:p>
    <w:p>
      <w:r>
        <w:t>- 19/20 - P/4074/2013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