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AARP/172/2014 vom 4. April 2014</w:t>
      </w:r>
    </w:p>
    <w:p>
      <w:r>
        <w:t>GE Cour de justice, 2014-04-04, FR</w:t>
      </w:r>
    </w:p>
    <w:p>
      <w:r>
        <w:rPr>
          <w:b/>
        </w:rPr>
        <w:t xml:space="preserve">Quelle: </w:t>
      </w:r>
      <w:r>
        <w:t>https://mcp.opencaselaw.ch/entscheid/ge_gerichte_AARP_172_2014</w:t>
      </w:r>
    </w:p>
    <w:p>
      <w:r>
        <w:t>FR: GE_GERICHTE AARP/172/2014 du 4 avril 2014</w:t>
      </w:r>
    </w:p>
    <w:p>
      <w:r>
        <w:t>IT: GE_GERICHTE AARP/172/2014 del 4 aprile 2014</w:t>
      </w:r>
    </w:p>
    <w:p>
      <w:pPr>
        <w:pStyle w:val="Heading2"/>
      </w:pPr>
      <w:r>
        <w:t>Erwägungen</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- 23/26 - P/18330/2010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4.1.2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 La détermination de la quotité du jour-amende se fait selon le principe du revenu net, soit celui que l'auteur réalise en moyenne quotidiennement, quelle qu'en soit la source, ce qui inclut notamment les prestations d'aide sociale. Le principe du revenu</w:t>
      </w:r>
    </w:p>
    <w:p>
      <w:r>
        <w:t>- 24/26 - P/18330/2010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w:t>
      </w:r>
    </w:p>
    <w:p>
      <w:r>
        <w:t>4.2.1 La faute de l'appelant est sérieuse, celui-ci ayant frappé à plusieurs reprises un détenu et lui ayant causé une lésion d'une certaine importante, en violation des devoirs les plus élémentaires de sa charge de gardien de prison, outre l'interdiction générale consacrée par l'art. 123 CP. Il y a concours d'infractions. Certes, l'attitude de la victime était-elle insultante et menaçante verbalement mais cela n'a malheureusement rien d'insolite en milieu carcéral et il appartenait à l'appelant de résister à une telle provocation. L'appelant ayant cédé à une pulsion violente, le mobile doit être qualifié d'égoïste.</w:t>
      </w:r>
    </w:p>
    <w:p>
      <w:r>
        <w:t>La collaboration de l'appelant ne peut être qualifiée de bonne, celui-ci ayant nié les faits.</w:t>
      </w:r>
    </w:p>
    <w:p>
      <w:r>
        <w:t>A décharge il faut cependant tenir compte du fait que les gardiens de prison travaillent notoirement à Genève, depuis plusieurs années, dans des conditions difficiles, source de conflits avec les détenus et de stress, ce qui les rend plus vulnérables au risque de perte de maîtrise. L'appelant peut par ailleurs se vanter d'une longue carrière, à peine entachée de deux sanctions disciplinaires, anciennes, et étant apprécié de la plupart de ses collègues. Il n'a aucun antécédent judiciaire et sa situation personnelle est favorable.</w:t>
      </w:r>
    </w:p>
    <w:p>
      <w:r>
        <w:t>Au regard de ces circonstances, la peine pécuniaire de 90 jours prononcée par le premier juge est adéquate. L'appelant ne doit à tout le moins pas la considérer choquante, n'ayant formulé aucun commentaire sur la quotité de la peine.</w:t>
      </w:r>
    </w:p>
    <w:p>
      <w:r>
        <w:t>4.2.2 De même, le montant de CHF 120.–/jour est proportionné à la situation financière de l'appelant, lequel ne soutient pas le contraire.</w:t>
      </w:r>
    </w:p>
    <w:p>
      <w:r>
        <w:t>4.2.3 Le jugement sera donc confirmé sur ces points également, la question du sursis n'ayant pas à être abordée, faute d'appel ou d'appel joint du MP.</w:t>
      </w:r>
    </w:p>
    <w:p>
      <w:r>
        <w:rPr>
          <w:b/>
        </w:rPr>
        <w:t>E. 5</w:t>
      </w:r>
    </w:p>
    <w:p>
      <w:r>
        <w:t>L'appelant, qui succombe, supportera les frais de la procédure envers l'État (art. 428 CPP), comprenant un émolument de CHF 1'500.– (art. 14 règlement fixant le tarif des frais en matière pénale du 22 décembre 2010 [RTFMP ; RS E 4 10.03).</w:t>
      </w:r>
    </w:p>
    <w:p>
      <w:r>
        <w:t>- 25/26 - P/18330/2010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