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AARP/170/2018 vom 5. Juni 2018</w:t>
      </w:r>
    </w:p>
    <w:p>
      <w:r>
        <w:t>GE Cour de justice, 2018-06-05, FR</w:t>
      </w:r>
    </w:p>
    <w:p>
      <w:r>
        <w:rPr>
          <w:b/>
        </w:rPr>
        <w:t xml:space="preserve">Quelle: </w:t>
      </w:r>
      <w:r>
        <w:t>https://mcp.opencaselaw.ch/entscheid/ge_gerichte_AARP_170_2018</w:t>
      </w:r>
    </w:p>
    <w:p>
      <w:r>
        <w:t>FR: GE_GERICHTE AARP/170/2018 du 5 juin 2018</w:t>
      </w:r>
    </w:p>
    <w:p>
      <w:r>
        <w:t>IT: GE_GERICHTE AARP/170/2018 del 5 giugno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juridiction d'appel limite son examen aux violations décrites dans l'acte d'appel (art. 404 al. 1 CPP), sauf en cas de décisions illégales ou inéquitables (art. 404 al. 2 CPP).</w:t>
      </w:r>
    </w:p>
    <w:p>
      <w:r>
        <w:rPr>
          <w:b/>
        </w:rPr>
        <w:t>E. 2</w:t>
      </w:r>
    </w:p>
    <w:p>
      <w:r>
        <w:t>2.1.1. L'art. 68 CPP prévoit que la direction de la procédure fait appel à un traducteur ou un interprète lorsqu'une personne participant à la procédure ne comprend pas la langue de la procédure ou n'est pas en mesure de s'exprimer suffisamment bien dans</w:t>
      </w:r>
    </w:p>
    <w:p>
      <w:r>
        <w:t>- 5/15 - P/12431/2017 cette langue (al. 1, 1ère phrase) ; il peut toutefois y être renoncé, avec l'accord de cette personne, pour les affaires simples ou urgentes et pour autant que le préposé au procès-verbal maîtrise suffisamment bien la langue de cette personne (art. 68 al. 1, 2ème phrase, CPP). Ces principes sont également valables devant la police (D. EQUEY, L'interprète et le traducteur dans la procédure pénale, SJ 2013 II 429/430 et les références citées).</w:t>
      </w:r>
    </w:p>
    <w:p>
      <w:r>
        <w:t>2.1.2. En l'occurrence, l'affaire était incontestablement simple, ce que l'appelant ne conteste d'ailleurs pas. Celui-ci ne nie pas non plus avoir consenti à ce qu'un policier effectue la traduction à la place d'un véritable interprète. Il allègue désormais que le policier en question ne maîtrisait pas suffisamment la langue anglaise sans étayer le propos, ne serait-ce qu'à l'aide d'un exemple, de sorte qu'il n'y a pas de raison de le suivre. On ne voit par ailleurs pas quel argument il pourrait tirer de sa propre connaissance insuffisante, ou supposée telle, de cette langue, dès lors que le problème ne relèverait alors pas du choix de l'interprète/traducteur mais plutôt de celui de l'idiome. Or, il ne soutient pas que ses interrogatoires auraient dû être conduits en swahili.</w:t>
      </w:r>
    </w:p>
    <w:p>
      <w:r>
        <w:t>Comme souligné par le premier juge, le procès-verbal d'audition par la police comporte plusieurs pages et est détaillé. Les explications que l'appelant a données en ce qui concerne plus particulièrement la vente de la drogue ne se limitent pas à la simple admission d'une transaction ; elles sont au contraire circonstanciées, l'intéressé ayant indiqué pourquoi et comment il en était venu à vendre le sachet de marijuana trouvé sur l'acheteur, et à quel prix. Les déclarations en cause paraissent d'autant plus authentiques qu'elles comportent des éléments à décharge, la transaction étant décrite comme le résultat d'une décision impulsive, provoquée par le client.</w:t>
      </w:r>
    </w:p>
    <w:p>
      <w:r>
        <w:t>Dans ces circonstances, il n'y a aucune raison de revenir sur des modalités auxquelles l'appelant a consenti.</w:t>
      </w:r>
    </w:p>
    <w:p>
      <w:r>
        <w:t>2.2.1. 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cela dans le but d'établir ou de mettre en doute la crédibilité des déclarations de ces derniers (ATF 141 IV 220 = JdT 2016 IV 79 ; ATF 139 IV 25 = JdT 2013 IV 226 ; arrêt du Tribunal fédéral 1B_404/2012 du 4 décembre 2012). Ce droit spécifique de participer et de collaborer découle du droit d'être entendu (art. 29 al. 2 de la Constitution fédérale de la Confédération suisse du 18 avril 1999 [Cst. - RS 101], art. 107 al. 1 let. b CPP). Il présuppose la qualité de partie (ATF 140 IV 172 consid. 1.2.1 et 1.2.2 p. 174 ss ; arrêt du Tribunal fédéral 6B_688/2014 du 22 décembre 2017 consid. 6.5.1). Il ne peut être restreint qu'aux conditions prévues par la loi (cf. art.</w:t>
      </w:r>
    </w:p>
    <w:p>
      <w:r>
        <w:t>- 6/15 - P/12431/2017 108, 146 al. 4 et 149 al. 2 let. b CPP ; cf. aussi art. 101 al. 1 CPP et Message du 21 décembre 2005 relatif à l'unification du droit de la procédure pénale, FF 2006 1166 s. ch. 2.4.1.3). Les preuves administrées en violation de l'art. 147 al. 1 CPP ne sont pas exploitables à la charge de la partie qui n'était pas présente (art. 147 al. 4 CPP ; cf. ATF 140 IV 172 consid. 1.2.1 p. 175 ; ATF 139 IV 25 consid. 4.2 p. 29 s. ; arrêt du Tribunal fédéral 6B_321/2017 du 8 mars 2018 consid. 1.5.1).</w:t>
      </w:r>
    </w:p>
    <w:p>
      <w:r>
        <w:t>Le droit d'être confronté, au moins une fois, aux témoins à charge est absolu (ATF 131 I 476 consid. 2.2 p. 481), y compris lorsque les dépositions décisives ont été recueillies par la police (ATF 125 I 129 consid. 6a p. 132), faute de quoi ces preuves ne pourront en principe pas être exploitées à charge du prévenu. Leur caractère inexploitable, exprimé à l'art. 147 al. 4 CPP, vaut toutefois sous réserve des limites posées à l'art. 147 al. 3, 2e phrase, CPP (N. SCHMID, Schweizerische Strafprozessordnung : Praxiskommentar, 2e éd., Zurich 2013, n. 15 ad art. 147). Selon l'art. 147 al. 3, 2e phrase, CPP, il peut être renoncé à répéter l'administration de preuves qui s'est tenue en l'absence d'une partie ou de son conseil, si cette répétition entraînerait des frais et démarches disproportionnés et que le droit des parties peut être satisfait d'une autre manière. Le lieu de séjour inconnu du témoin est une raison de renoncer à la répétition (N. SCHMID, op. cit., n. 14 ad art. 147). 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(ATF 131 I 476 consid. 2.2 pp. 480 s. ; arrêt du Tribunal fédéral 6B_1023/2016 du 30 mars 2017 consid. 1.2.3).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est une preuve essentielle (ATF 131 I 476 consid. 2.2 p. 480 ; ATF 129 I 151 consid. 3.1 pp. 153 s.).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pp. 480 ss et les références ; arrêt du Tribunal fédéral 6B_961/2016 du 10 avril 2017 consid. 3.3.1).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 du Tribunal fédéral 6B_456/2011 du 27 décembre 2011 consid. 1.1 et les références).</w:t>
      </w:r>
    </w:p>
    <w:p>
      <w:r>
        <w:t>- 7/15 - P/12431/2017 2.2.2. En l'occurrence, il est vrai que le domicile français du consommateur impliquait de possibles difficultés dans l'organisation d'une confrontation mais faute d'avoir tenté, on ne saurait exclure d'emblée la possibilité d'y procéder. Pour autant, ainsi qu'il sera développé ci-après, ce n'est pas sur la base des déclarations de ce protagoniste que la conviction de la culpabilité de l'appelant est assise. Il n'est donc pas nécessaire de se demander si l'on se trouve dans un cas de figure où les déclarations à charge peuvent être exploitées nonobstant l'absence de confrontation. Il peut ainsi été concédé à l'appelant que les déclarations de B______ ne peuvent lui être opposées, ce qui ne changera cependant pas l'issue de la cause.</w:t>
      </w:r>
    </w:p>
    <w:p>
      <w:r>
        <w:rPr>
          <w:b/>
        </w:rPr>
        <w:t>E. 3.1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rPr>
          <w:b/>
        </w:rPr>
        <w:t>E. 3.2</w:t>
      </w:r>
    </w:p>
    <w:p>
      <w:r>
        <w:t>La transaction contestée a été observée par la police, selon le rapport du 16 juin 2017 étant relevé que l'appelant n'en a jamais contesté le contenu pas plus qu'il n'a demandé à être confronté aux policiers. L'exactitude des constatations visuelles de la police est corroborée par le fait que la personne interpellée aussitôt après était en</w:t>
      </w:r>
    </w:p>
    <w:p>
      <w:r>
        <w:t>- 8/15 - P/12431/2017 possession d'un sachet de marijuana. Elles le sont également par les aveux de l'appelant lors de son interpellation puis de son audition par la police. Il est particulièrement significatif que l'intéressé ait décrit avoir vendu un sachet de marijuana, soit précisément la substance, telle que conditionnée, trouvé sur le consommateur repéré par la police. En outre, l'appelant a donné des détails circonstanciés et isolé, parmi les billets et pièces en sa possession, le billet de CHF 50.- reçu en règlement du prix de vente. C'est donc sur la base de ces éléments, et non des déclarations du toxicomane, qui n'a d'ailleurs pas été requis de formellement identifier son vendeur, qu'il peut être tenu pour acquis, au-delà de tout doute raisonnable, que l'appelant a vendu à B______ le sachet de marijuana trouvé sur ce dernier, de sorte que l'appel doit être rejeté.</w:t>
      </w:r>
    </w:p>
    <w:p>
      <w:r>
        <w:rPr>
          <w:b/>
        </w:rPr>
        <w:t>E. 4.1</w:t>
      </w:r>
    </w:p>
    <w:p>
      <w:r>
        <w:t>L'appelant ne conteste pas la peine pour l'hypothèse où le verdict de culpabilité serait confirmé. Toutefois, il s'avère que postérieurement au prononcé du jugement, deux nouvelles condamnations ont été prononcées à son encontre, de sorte que la peine doit en tout état être revue pour permettre l'application de l'art. 49 al. 2 du Code pénal suisse du 21 décembre 1937 (CP - RS 311.0).</w:t>
      </w:r>
    </w:p>
    <w:p>
      <w:r>
        <w:t>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w:t>
      </w:r>
    </w:p>
    <w:p>
      <w:r>
        <w:t>- 9/15 - P/12431/2017 prononce est exagérément sévère ou clémente au point de constituer un abus du pouvoir d'appréciation (ATF 136 IV 55 consid. 5.6 p. 61 ; arrêts du Tribunal fédéral 6B_1428/2016 du 3 octobre 2017 consid. 4.1 ; 6B_326/2016 du 22 mars 2017 consid. 4.1). 4.2.2.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w:t>
      </w:r>
    </w:p>
    <w:p>
      <w:r>
        <w:t>- 10/15 - P/12431/2017 2017 IV 129 ; ATF 141 IV 61 consid. 6.1.2 p. 67 ; arrêt du Tribunal fédéral 6B_623/2016 du 25 avril 2017 consid. 1.1 et 1.4). 4.2.3. La réforme du droit des sanctions entrée en vigueur le 1er janvier 2018 marque un durcissement du droit des sanctions (Message relatif à la modification du Code pénal et du Code pénal militaire du 4 avril 2012, FF 2012 4385 ss ; M. DUPUIS / L. MOREILLON / C. PIGUET / S. BERGER / M. MAZOU / V. RODIGARI [éds], Code pénal - Petit commentaire, 2ème éd., Bâle 2017, Rem. prél. ad art. 34 à 41, n. 2 ss). En particulier, la peine privative de liberté est désormais de trois jours au moins et de vingt ans au plus (sous réserve d'une peine privative de liberté à vie lorsque la loi le prévoit expressément ; art. 40 CP ; M. DUPUIS / L. MOREILLON / C. PIGUET / S. BERGER / M. MAZOU / V. RODIGARI [éds], op. cit., Rem. prél. ad art. 34 à 41 CP, n. 5) alors que précédemment, la courte peine privative de liberté était l'exception dès lors qu'elle ne pouvait être prononcée que si des motifs de prévention spéciale permettaient de considérer qu'une peine pécuniaire ou une nouvelle peine de travail d'intérêt général seraient d'emblée inadaptées, (arrêts du Tribunal fédéral 6B_341/2017 du 23 janvier 2018 consid. 1.1 ; 6B_1030/2016 du 2 février 2017 consid. 2.2.2). Le juge devait alors motiver le choix de la courte peine privative de liberté ferme de manière circonstanciée (art. 41 al. 2 CP). Il ne lui suffisait pas d'expliquer pourquoi une peine privative de liberté ferme semblait adéquate, il devait également mentionner clairement en quoi les conditions du sursis n'étaient pas réunies, en quoi il y avait lieu d'admettre que la peine pécuniaire ou un travail d'intérêt général ne paraissaient pas exécutables (ATF 134 IV 60 consid. 8.4 p. 80 ; arrêts du Tribunal fédéral 6B_372/2017 du 15 novembre 2017 consid. 1.1 ; 6B_1030/2016 du 2 février 2017 consid. 2.2).</w:t>
      </w:r>
    </w:p>
    <w:p>
      <w:r>
        <w:rPr>
          <w:b/>
        </w:rPr>
        <w:t>E. 4.3</w:t>
      </w:r>
    </w:p>
    <w:p>
      <w:r>
        <w:t>La faute de l'appelant est d'une gravité moyenne. Elle pourrait encore être tenue pour légère s'il n'y avait que la transaction contestée en appel et la consommation de stupéfiants, mais il s'y ajoute la violation de la LEtr, d'autant plus sérieuse que l'appelant persiste à séjourner en Suisse ou à y revenir nonobstant les nombreuses condamnations déjà rendues à son encontre et l'interdiction d'entrée qui le frappe depuis le 22 janvier 2016. Il n'a manifestement cure de ces décisions ou, plus généralement, des règles de l'ordre juridique. En persistant à séjourner en Suisse en toute illégalité, l'appelant s'est placé dans une situation de précarité qui l'a conduit, selon ses propres explications, à vendre la marijuana saisie. La période pénale est relativement brève, mais s'inscrit dans une succession d'infractions, étant relevé que deux nouvelles condamnations sont venues enrichir son casier judiciaire.</w:t>
      </w:r>
    </w:p>
    <w:p>
      <w:r>
        <w:t>Il y a concours d'infractions et concours retrospectif.</w:t>
      </w:r>
    </w:p>
    <w:p>
      <w:r>
        <w:t>- 11/15 - P/12431/2017</w:t>
      </w:r>
    </w:p>
    <w:p>
      <w:r>
        <w:t>Certes, on imagine que l'appelant, au demeurant encore jeune, a eu un parcours difficile, mais cela ne justifie pas ses agissements, notamment pas la répétition des infractions à la LEtr, l'intéressé devant se résoudre à l'idée que ce mode de vie ne constitue pas une solution, en l'absence de toute perspective de régularisation.</w:t>
      </w:r>
    </w:p>
    <w:p>
      <w:r>
        <w:t>Si n'était le concours rétrospectif, la peine infligée par le premier juge paraitrait adéquate, vu ce qui précède, tant par sa durée que par son type. En ce qui concerne plus particulièrement le type de peine, il faut rappeler que vu ses antécédents et l'absence de toute perspective d'amendement, le pronostic est clairement défavorable ce qui exclut le sursis. En outre, l'appelant, qui n'a d'ailleurs pas évoqué une telle issue, ne saurait prétendre effectuer un travail d'intérêt général, et il a déjà connu de la peine pécuniaire, sans que cela n'ait d'effet dissuasif. L'application des dispositions en vigueur lors de la commission des faits ne conduirait donc pas à écarter la peine privative de liberté. Cependant, il faut admettre que si elle était appelée à connaître de toutes les infractions objet des décisions des 10 janvier, 7 mars et 17 avril 2018, la juridiction d'appel n'infligerait pas une peine privative de liberté supérieure à dix mois. Il convient donc de réduire la présente peine privative de liberté à zéro, celle-ci étant complémentaire à celles prononcées par le MP les 7 mars et 17 avril 2018.</w:t>
      </w:r>
    </w:p>
    <w:p>
      <w:r>
        <w:rPr>
          <w:b/>
        </w:rPr>
        <w:t>E. 4.4</w:t>
      </w:r>
    </w:p>
    <w:p>
      <w:r>
        <w:t>Il n'y a en revanche pas lieu de revenir sur l'amende sanctionnant la consommation de stupéfiant, contre laquelle l'appel n'est pas dirigé et qui n'entre pas en concours rétrospectif avec les peines privatives de libertés ultérieures.</w:t>
      </w:r>
    </w:p>
    <w:p>
      <w:r>
        <w:rPr>
          <w:b/>
        </w:rPr>
        <w:t>E. 5.1</w:t>
      </w:r>
    </w:p>
    <w:p>
      <w:r>
        <w:t>Aux termes de l'art. 51 CP, le juge impute sur la peine la détention avant jugement subie par l'auteur dans le cadre de l'affaire qui vient d'être jugée ou d'une autre procédure. Il découle de cette disposition qu'une peine privative de liberté doit, si possible, être compensée avec la privation de liberté déjà intervenue, même dans une autre procédure (ATF 133 IV 150 consid. 5.1 p. 154 s.). La détention avant jugement doit être imputée sur la peine, indépendamment du fait que celle-ci soit assortie du sursis ou non et qu'il s'agisse d'une peine pécuniaire ou privative de liberté (ATF 135 IV 126 consid. 1.3.6 p. 129). En présence de peines de types différents, l'imputation de la détention avant jugement s'opère en premier lieu sur la peine privative de liberté, puis en cas d'excédent sur la peine pécuniaire, indifféremment d'une identité entre cette dernière et la détention avant jugement subie (arrêt du Tribunal fédéral 6B_983/2013 du 24 février 2014 consid. 6.2). La question de l'indemnisation d'une détention injustifiée ne se pose en principe que si une imputation suffisante de cette détention sur une autre sanction au sens de</w:t>
      </w:r>
    </w:p>
    <w:p>
      <w:r>
        <w:t>- 12/15 - P/12431/2017 l'art. 51 CP n'est plus possible ; l'indemnisation financière est ainsi subsidiaire à l'imputation (ATF 141 IV 236 consid. 3.3 p. 239 et les références citées). L'intéressé n'a pas le droit de choisir entre ces deux voies (arrêt du Tribunal fédéral 6B_431/2015 du 24 mars 2016 consid. 2.2.). La procédure à suivre en matière d'imputation de la détention dans une autre procédure n'est pas réglée par la loi. En principe, l'imputation doit être effectuée par l'autorité appelée à statuer sur l'application de l'art. 431 al. 2 CPP, l'autre autorité devant être informée de l'imputation (AARP/334/2017 du 12 octobre 2017, consid. 6.6).</w:t>
      </w:r>
    </w:p>
    <w:p>
      <w:r>
        <w:rPr>
          <w:b/>
        </w:rPr>
        <w:t>E. 5.2</w:t>
      </w:r>
    </w:p>
    <w:p>
      <w:r>
        <w:t>En l'occurrence, vu le concours rétrospectif, l'appelant s'avère avoir subi deux jours de détention avant jugement dans cette affaire alors que sa peine a dû être réduite à zéro. Ces deux jours devront donc être déduits des peines ultérieures précitées, l'attention du Service d'application des peines et mesures, qui recevra communication du présent arrêt, étant expressément attirée sur ce point.</w:t>
      </w:r>
    </w:p>
    <w:p>
      <w:r>
        <w:rPr>
          <w:b/>
        </w:rPr>
        <w:t>E. 6.1</w:t>
      </w:r>
    </w:p>
    <w:p>
      <w:r>
        <w:t>Selon l'art. 428 al. 2 let. a CPP, les frais sont mis à la charge de la partie qui a interjeté recours, quand bien même celle-ci obtient une décision plus favorable, si les conditions qui lui ont permis d'obtenir ce résultat n'ont été réalisées que dans la procédure de recours. Tel est le cas en l'occurrence, le concours rétrospectif ne s'étant réalisé qu'en cours de la procédure d'appel. Les frais de ladite procédure seront donc mis à la charge de l'intéressé.</w:t>
      </w:r>
    </w:p>
    <w:p>
      <w:r>
        <w:rPr>
          <w:b/>
        </w:rPr>
        <w:t>E. 6.2</w:t>
      </w:r>
    </w:p>
    <w:p>
      <w:r>
        <w:t>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(ATF 137 IV 352 consid. 2.4.2 p. 357 ; arrêts du TF 6B_385/2017 du 5 décembre 2017 consid. 2.1 ; 6B_620/2016 du 17 mai 2017 consid. 2.2.2 et les références ; 6B_792/2016 du 18 avril 2017 consid. 3.3). Pour cette raison déjà, l'appelant ne saurait prétendre à couverture de ses frais de défense.</w:t>
      </w:r>
    </w:p>
    <w:p>
      <w:r>
        <w:t>A cela s'ajoute que le motif qui a conduit à la réduction de la peine a été soulevé d'office par la Cour et n'a donc exigé aucun travail facturable de l'avocat de l'appelant. * * * * *</w:t>
      </w:r>
    </w:p>
    <w:p>
      <w:r>
        <w:t>- 13/15 - P/12431/2017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