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AARP/169/2024 vom 23. Mai 2024</w:t>
      </w:r>
    </w:p>
    <w:p>
      <w:r>
        <w:t>GE Cour de justice, 2024-05-23, FR</w:t>
      </w:r>
    </w:p>
    <w:p>
      <w:r>
        <w:rPr>
          <w:b/>
        </w:rPr>
        <w:t xml:space="preserve">Quelle: </w:t>
      </w:r>
      <w:r>
        <w:t>https://mcp.opencaselaw.ch/entscheid/ge_gerichte_AARP_169_2024</w:t>
      </w:r>
    </w:p>
    <w:p>
      <w:r>
        <w:t>FR: GE_GERICHTE AARP/169/2024 du 23 mai 2024</w:t>
      </w:r>
    </w:p>
    <w:p>
      <w:r>
        <w:t>IT: GE_GERICHTE AARP/169/2024 del 23 maggio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w:t>
      </w:r>
    </w:p>
    <w:p>
      <w:r>
        <w:t>- 7/20 - P/7393/2023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6 par. 3 let. d de la Convention de sauvegarde des droits de l'homme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w:t>
      </w:r>
    </w:p>
    <w:p>
      <w:r>
        <w:t>- 8/20 - P/7393/2023 compris lorsqu'elles ont été recueillies lors de l'enquête préliminaire. En tant qu'elle concrétise le droit d'être entendu (art. 29 al. 2 de la Constitution fédérale [Cst.]), cette exigence est également garantie par l'art. 32 al. 2 Cst. Ce droit est absolu lorsque la déposition du témoin en cause est d'une importance décisive, notamment lorsqu'il est le seul témoin, ou que sa déposition est une preuve essentielle (ATF 131 I 476 consid. 2.2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et les références ; 6B_862/2015 du 7 novembre 2016 consid. 4.3.3).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6B_1310/2016 du 13 décembre 2017 consid. 2.1 ; 6B_956/2016 du 19 juillet 2017 consid. 2.3.1 ; 6B_947/2015 du 29 juin 2017 consid. 5.5.1 et les références ; 6B_456/2011 du 27 décembre 2011 consid. 1.1 et les références).</w:t>
      </w:r>
    </w:p>
    <w:p>
      <w:r>
        <w:rPr>
          <w:b/>
        </w:rPr>
        <w:t>E. 2.3</w:t>
      </w:r>
    </w:p>
    <w:p>
      <w:r>
        <w:t>À teneur de l’art. 19 al. 1 let. c et d LStup, est puni d’une peine privative de liberté de trois ans au plus ou d’une peine pécuniaire celui qui, sans droit, aliène ou prescrit des stupéfiants, en procure de toute autre manière à un tiers ou en met dans le commerce et celui qui, sans droit, possède, détient ou acquiert des stupéfiants ou s’en procure de toute autre manière. L’alinéa 2 let. a de cette disposition précise que</w:t>
      </w:r>
    </w:p>
    <w:p>
      <w:r>
        <w:t>- 9/20 - P/7393/2023 l’auteur de l’infraction est puni d’une peine privative de liberté d’un an au moins s’il sait ou ne peut ignorer que l’infraction peut directement ou indirectement mettre en danger la santé de nombreuses personnes. S'agissant de la quantité pour l'héroïne, la condition objective est remplie dès que l'infraction porte sur une quantité d'au moins 12 grammes de drogue pure (ATF 145 IV 312 consid. 2.1 ; 119 IV 180). Si l'auteur commet plusieurs actes distincts, les quantités qui en sont l'objet doivent être additionnées (ATF 112 IV 109 consid. 2b p. 113 ; arrêt du Tribunal fédéral 7B_17/2022 du 18 mars 2024 destiné à la publication).</w:t>
      </w:r>
    </w:p>
    <w:p>
      <w:r>
        <w:rPr>
          <w:b/>
        </w:rPr>
        <w:t>E. 2.4</w:t>
      </w:r>
    </w:p>
    <w:p>
      <w:r>
        <w:t>Selon l’art. 291 CP, quiconque contrevient à une décision d'expulsion du territoire de la Confédération ou d'un canton prononcée par une autorité compétente est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 147 IV 232 consid. 1.1 p. 234).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2.5</w:t>
      </w:r>
    </w:p>
    <w:p>
      <w:r>
        <w:t>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6B_1335/2016 du 5 septembre 2017 consid. 2.1). L'acte d'accusation définit l'objet du procès et sert également à informer le prévenu (fonction de délimitation et d'information) (ATF 143 IV 63 consid. 2.2 p. 65 ; 141 IV 132 consid. 3.4.1 p. 142 s. et les références citées). Des imprécisions relatives au lieu ou à la date sont sans portée, dans la mesure où le prévenu ne peut avoir de doute sur le comportement qui lui est reproché (arrêts du Tribunal fédéral 6B_275/2016 du 9 décembre 2016 consid. 2.1 ; 6B_1141/2015 du 3 juin 2016 consid. 1.1).</w:t>
      </w:r>
    </w:p>
    <w:p>
      <w:r>
        <w:t>- 10/20 - P/7393/2023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6B_28/2016 du 10 octobre 2016 consid. 2.1 ; 6B_666/2015 du 27 juin 2016 consid. 1.4.1). 2.6.1. En l’espèce, l’appelant conteste toute participation aux faits du mois de mars 2022. La présence de son ADN sur les sachets d’héroïne saisis démontre néanmoins qu'il a participé au trafic de cette drogue, à tout le moins en conditionnant celle-ci. Le lieu où le prélèvement analysé a été effectué exclut en effet toute contamination accidentelle ou transfert de trace ; seule une personne ayant détenu et manipulé les sachets peut avoir déposé son ADN sur les nœuds et les fermetures de ces sachets. Le fait que le profil de l’appelant se retrouve sur les deux types d’emballages confirme si besoin était la fiabilité de ce résultat. Il est donc établi que l’appelant a manipulé ces stupéfiants, vraisemblablement en participant à leur préparation et à leur conditionnement en portions individuelles, dernière étape avant la vente de rue. L’acte d’accusation reproche toutefois spécifiquement à l’appelant d’avoir remis ces stupéfiants au toxicomane revendeur qui a été interpellé en leur possession. Ce toxicomane, confronté à l’appelant, a indiqué le reconnaître pour l’avoir croisé dans son quartier, sans être toutefois en mesure de le désigner formellement comme son vendeur. Par ailleurs, les circonstances de cette identification laissent quelque peu à désirer, puisque le toxicomane a été directement confronté à l’appelant, plus de 15 mois après les faits, sans avoir été appelé auparavant à désigner son fournisseur parmi d’autres, par exemple sur planche photographique. Dans ces circonstances, il subsiste un doute sur la question de savoir si l’appelant a lui-même remis la drogue au toxicomane, ou s’il a uniquement participé à la préparation et au conditionnement de l’héroïne. Or, faute de toute autre description du comportement reproché à l’appelant dans l’acte d’accusation, ce doute doit lui bénéficier puisqu’il n’est pas possible de retenir au-delà de tout doute raisonnable qu’il a bien eu ce seul comportement qui lui est reproché. L’appelant devra donc être acquitté des faits en lien avec la remise de stupéfiants en mars 2022. En revanche, dans la mesure où il est établi que l’appelant a conditionné des stupéfiants saisis à Genève en mars 2022 et destinés à la vente, l’appelant se trouvait dans le canton à cette période. Ce type de conditionnement intervient en effet peu</w:t>
      </w:r>
    </w:p>
    <w:p>
      <w:r>
        <w:t>- 11/20 - P/7393/2023 avant la vente, dans un lien de proximité immédiate avec la remise aux toxicomanes. L’appelant a donc contrevenu, à cette période, à la mesure d’expulsion prononcée à son égard. 2.6.2. L’appelant conteste l’exploitabilité du témoignage de E______, faute de confrontation. Il est constant que cette personne n’a pas été confrontée avec lui, ayant exclusivement été entendue en qualité de prévenu juste avant la notification d’une ordonnance pénale. Les déclarations recueillies dans ces circonstances ne sont pas exploitables à la charge de l’appelant. En revanche, les autres éléments de la procédure le sont pleinement, et notamment les circonstances de son interpellation et de celle de E______. Celui-ci a été observé à son arrivée, dans un lieu connu pour un trafic d’héroïne, ayant justifié la mise en place d’une surveillance policière. E______ a été vu scrutant les lieux puis prenant contact avec l’appelant. Un policier a observé un échange entre eux. Immédiatement après cet échange, alors qu’ils s’étaient séparés et qu'il s’éloignait de l’appelant, E______ a été interpellé en possession de stupéfiants. L’intéressé est un toxicomane notoire. Il ne fait pas de doute, au vu de l’ensemble de ces observations et de la saisie consécutive, qu’il venait d’acquérir les stupéfiants retrouvés en sa possession, au cours de l’échange observé par les policiers. Contrairement à ce que plaide l’appelant, le témoignage du policier est ainsi particulièrement pertinent, étant relevé qu’il se trouvait avec plusieurs collègues et qu’ils ont ainsi gardé les protagonistes sous surveillance et ne se sont pas trompés de personne au moment de l’interpellation de l’appelant. Celui-ci ne fournit par ailleurs aucune explication à sa présence dans un quartier connu pour le trafic de stupéfiants. Les raisons qu’il a données de sa venue à Genève confinent à l’absurde : un touriste amoureux de Genève ne va s’y rendre pour se promener sous des échafaudages dans un quartier urbain sans intérêt particulier. Ces explications aberrantes confirment les constatations des policiers, à savoir que l’appelant s’est bien rendu en ces lieux dans le but de remettre de l’héroïne à un toxicomane. Si la déclaration du toxicomane n’est pas exploitable à charge de l’appelant, elle l’est à décharge et les pilules d'ecstasy saisies en même temps que l’héroïne n’ont, à raison, pas été retenues à son encontre dans l’acte d’accusation. L’appelant doit ainsi être reconnu coupable d’infraction simple à la loi fédérale sur les stupéfiants en lien avec ces faits. En effet, la quantité d’héroïne en cause (19.8 grammes bruts), qui n’a pas été analysée, doit être prise en compte au taux usuel de 10% pour le trafic de rue (cf. arrêt du Tribunal fédéral 6B_1040/2009 du 13 avril 2010 consid. 2.2, encore confirmé dans l’arrêt 6B_1071/2020 du 11 mars 2022, consid. 5.1).</w:t>
      </w:r>
    </w:p>
    <w:p>
      <w:r>
        <w:t>- 12/20 - P/7393/2023</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principe de l'aggravation selon l'art. 49 al. 1 CP ne peut pas conduire à une peine maximale plus élevée que la peine maximale qui serait possible en vertu du principe de cumul des peines (ATF 143 IV 145 consid. 8.2.3).</w:t>
      </w:r>
    </w:p>
    <w:p>
      <w:r>
        <w:rPr>
          <w:b/>
        </w:rPr>
        <w:t>E. 3.3</w:t>
      </w:r>
    </w:p>
    <w:p>
      <w:r>
        <w:t>La rupture de ban et l’infraction simple à la LStup sont sanctionnées d’une peine privative de liberté de trois ans au plus ou d'une peine pécuniaire. En l'espèce, la faute de l'appelant est importante. Alors qu’il avait fait l’objet d’une première condamnation pour des infractions à la loi fédérale sur les stupéfiants et se trouvait sous le coup d’une expulsion, il n’a pas hésité à revenir en Suisse, à deux</w:t>
      </w:r>
    </w:p>
    <w:p>
      <w:r>
        <w:t>- 13/20 - P/7393/2023 reprises. Il a vendu quatre sachets d’héroïne à un toxicomane, manifestement pour réaliser de la sorte un bénéfice rapide, sans égard pour le fléau que représente le trafic de stupéfiants. Sa collaboration à la procédure et sa prise de conscience sont mauvaises. L'appelant a nié les faits, s’enferrant dans des explications absurdes au sujet de sa présence à Genève. Sa situation personnelle ne permet au demeurant pas de comprendre, encore moins de justifier, ses actes. Au moment des faits, il bénéficiait selon ses dires de revenus réguliers, confortables au vu de son pays de résidence. Rien ne justifiait, sinon l’appât du gain, qu’il revienne à Genève. À raison, l’appelant ne conteste pas le genre de peine. Au vu de ses antécédents et de sa situation personnelle, seule une peine privative de liberté ferme entre en ligne de compte, les conditions d’un sursis n’étant pas remplies. L’infraction objectivement la plus grave est la rupture de ban. La première occurrence justifie à elle seule une peine de base quatre mois. Cette peine doit être aggravée de trois mois pour la seconde rupture de ban (peine théorique de quatre mois) et de deux mois pour l’infraction à la loi fédérale sur les stupéfiants (peine théorique de trois mois). C’est donc une peine privative de liberté de neuf mois qui doit être prononcée à l’égard de l’appelant. Celui-ci étant détenu depuis le 29 juillet 2023, sa libération immédiate sera ordonnée.</w:t>
      </w:r>
    </w:p>
    <w:p>
      <w:r>
        <w:rPr>
          <w:b/>
        </w:rPr>
        <w:t>E. 3.4</w:t>
      </w:r>
    </w:p>
    <w:p>
      <w:r>
        <w:t>L’absence de révocation du sursis accordé le 29 janvier 2020 est acquis à l’appelant. Il ne conteste à raison pas la décision du premier juge de prononcer un avertissement à A______ et de prolonger le délai d'épreuve d'un an, mesures qui seront confirmées.</w:t>
      </w:r>
    </w:p>
    <w:p>
      <w:r>
        <w:rPr>
          <w:b/>
        </w:rPr>
        <w:t>E. 4.1</w:t>
      </w:r>
    </w:p>
    <w:p>
      <w:r>
        <w:t>L'art. 66a al. 1 let. o CP, qui prévoit l’expulsion obligatoire de l’étranger ayant commis une infraction grave à la LStup, ne trouve pas application. L'art. 66abis CP prévoit toutefois que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w:t>
      </w:r>
    </w:p>
    <w:p>
      <w:r>
        <w:t>- 14/20 - P/7393/2023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4.2</w:t>
      </w:r>
    </w:p>
    <w:p>
      <w:r>
        <w:t>En l’espèce, l’appelant conteste le prononcé de l’expulsion, sans expliquer en quoi une telle mesure lui porterait atteinte, étant relevé qu’aux débats de première instance il a expliqué ne pas s’y opposer. En l’absence de tout lien de l’appelant avec la Suisse, et au vu de la récidive que constitue la présente condamnation, il se justifie de prononcer à son encontre une expulsion facultative pour une durée de dix ans.</w:t>
      </w:r>
    </w:p>
    <w:p>
      <w:r>
        <w:rPr>
          <w:b/>
        </w:rPr>
        <w:t>E. 4.3</w:t>
      </w:r>
    </w:p>
    <w:p>
      <w:r>
        <w:t>Il n'y a pas lieu d'étendre la mesure d'expulsion prononcée à l'ensemble de l'espace Schengen, le prévenu étant titulaire d’un titre de séjour d'un État membre.</w:t>
      </w:r>
    </w:p>
    <w:p>
      <w:r>
        <w:rPr>
          <w:b/>
        </w:rPr>
        <w:t>E. 5.1</w:t>
      </w:r>
    </w:p>
    <w:p>
      <w:r>
        <w:t>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- 15/20 - P/7393/2023</w:t>
      </w:r>
    </w:p>
    <w:p>
      <w:r>
        <w:rPr>
          <w:b/>
        </w:rPr>
        <w:t>E. 5.2</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5.3</w:t>
      </w:r>
    </w:p>
    <w:p>
      <w:r>
        <w:t>En l’espèce, l’appelant sollicite la restitution de son téléphone portable. Les téléphones sont un outil de travail essentiel dans le trafic de stupéfiants, infraction dont l’appelant est reconnu coupable ; son appareil n’a certes pas été exploité et il n’a pas formellement utilisé cet appareil dans ce contexte. Il doit dès lors lui être restitué.</w:t>
      </w:r>
    </w:p>
    <w:p>
      <w:r>
        <w:rPr>
          <w:b/>
        </w:rPr>
        <w:t>E. 5.4</w:t>
      </w:r>
    </w:p>
    <w:p>
      <w:r>
        <w:t>L’appelant sollicite la restitution des fonds saisis. Le premier juge, qui a ordonné leur affectation au paiement des frais de la procédure, a ainsi en réalité d’ores et déjà ordonné leur restitution puisqu’ils ont été compensés avec une dette de l’appelant. Il n’y a pas lieu de statuer différemment en l’espèce, étant notamment relevé que l’appelant a lui-même déclaré gagner suffisamment sa vie et que la compensation ne porte ainsi pas atteinte à son minimum vital.</w:t>
      </w:r>
    </w:p>
    <w:p>
      <w:r>
        <w:rPr>
          <w:b/>
        </w:rPr>
        <w:t>E. 6</w:t>
      </w:r>
    </w:p>
    <w:p>
      <w:r>
        <w:t>L'appelant, qui obtient partiellement gain de cause, supportera la moitié des frais de la procédure envers l'État (art. 428 CPP), comprenant un émolument de décision de CHF 1'500.-.</w:t>
      </w:r>
    </w:p>
    <w:p>
      <w:r>
        <w:t>Pour le même motif, les frais de la procédure préliminaire seront mis à sa charge à raison de la moitié, y-compris l’émolument de jugement complémentaire.</w:t>
      </w:r>
    </w:p>
    <w:p>
      <w:r>
        <w:rPr>
          <w:b/>
        </w:rPr>
        <w:t>E. 6.1</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w:t>
      </w:r>
    </w:p>
    <w:p>
      <w:r>
        <w:t>- 16/20 - P/7393/2023 p. 239 ; arrêts du Tribunal fédéral 6B_343/2015 du 2 février 2016 consid. 1.2.4 ; 6B_558/2013 du 13 décembre 2013 consid. 1.5 ; 6B_169/2012 du 25 juin 2012 consid. 6 ; 1B_179/2011 du 17 juin 2011 consid. 4.2).</w:t>
      </w:r>
    </w:p>
    <w:p>
      <w:r>
        <w:rPr>
          <w:b/>
        </w:rPr>
        <w:t>E. 6.2</w:t>
      </w:r>
    </w:p>
    <w:p>
      <w:r>
        <w:t>En l’espèce, l’appelant, détenu depuis le 29 juillet 2023, a subi, au jour du présent jugement, 24 jours de détention excessive. Cette peine sera portée en déduction du solde de peine de sa condamnation du 29 janvier 2020.</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Il n'appartient pas à l'assistance judiciaire d'indemniser le maître de stage pour la formation qu'il a l'obligation de fournir à son stagiaire (AARP/331/2015 du 27 juillet</w:t>
      </w:r>
    </w:p>
    <w:p>
      <w:r>
        <w:t>- 17/20 - P/7393/2023 2015 ; AARP/325/2015 du 20 juillet 2015 et AARP/300/2015 du 16 juillet 2015 ; ACPR/167/2017 du 15 mars 2017 consid. 4.3).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le temps consacré à la rédaction de la déclaration d’appel – qui n’a pas à être motivée – sera écarté, cette activité ressortant à l’indemnisation forfaitaire. Par ailleurs, le temps consacré à la préparation des débats d’appel est manifestement exagéré, dans un dossier relativement simple dont les pièces pertinentes tiennent en un classeur (la moitié du dossier ne concernant pas l’appelant) et de surcroît connu pour avoir été plaidé en première instance il y a quelques mois, aucun argument nouveau n’ayant été soulevé ni aucune question juridique complexe posée. Ce temps sera dès lors ramené à quatre heures d’activité de chef d’étude.</w:t>
      </w:r>
    </w:p>
    <w:p>
      <w:r>
        <w:t>En conclusion, la rémunération sera arrêtée à CHF 2'650.65 correspondant à quatre heures d'activité au tarif de CHF 200.-/heure, huit heures et cinq minutes d’activité au tarif de CHF 110.-/heure plus la majoration forfaitaire de 20%, un forfait déplacement de CHF 55.-, l'équivalent de la TVA au taux de 8.1% en CHF 168.65 et CHF 400.- de frais d’interprète. * * * * *</w:t>
      </w:r>
    </w:p>
    <w:p>
      <w:r>
        <w:t>- 18/20 - P/7393/2023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