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AARP/169/2015 vom 30. März 2015</w:t>
      </w:r>
    </w:p>
    <w:p>
      <w:r>
        <w:t>GE Cour de justice, 2015-03-30, FR</w:t>
      </w:r>
    </w:p>
    <w:p>
      <w:r>
        <w:rPr>
          <w:b/>
        </w:rPr>
        <w:t xml:space="preserve">Quelle: </w:t>
      </w:r>
      <w:r>
        <w:t>https://mcp.opencaselaw.ch/entscheid/ge_gerichte_AARP_169_2015</w:t>
      </w:r>
    </w:p>
    <w:p>
      <w:r>
        <w:t>FR: GE_GERICHTE AARP/169/2015 du 30 mars 2015</w:t>
      </w:r>
    </w:p>
    <w:p>
      <w:r>
        <w:t>IT: GE_GERICHTE AARP/169/2015 del 30 marzo 2015</w:t>
      </w:r>
    </w:p>
    <w:p>
      <w:pPr>
        <w:pStyle w:val="Heading2"/>
      </w:pPr>
      <w:r>
        <w:t>Erwägungen</w:t>
      </w:r>
    </w:p>
    <w:p>
      <w:r>
        <w:rPr>
          <w:b/>
        </w:rPr>
        <w:t>E. 1.1</w:t>
      </w:r>
    </w:p>
    <w:p>
      <w:r>
        <w:t>Un arrêt de renvoi du Tribunal fédéral lie l’autorité cantonale à laquelle la cause est renvoyée, laquelle voit sa cognition limitée par les motifs de l’arrêt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p. 335 ; arrêt du Tribunal</w:t>
      </w:r>
    </w:p>
    <w:p>
      <w:r>
        <w:t>- 5/9 - P/11769/2011 fédéral 6B_534/2011 du 5 janvier 2012 consid. 1.2). Des faits nouveaux ne peuvent être pris en considération que sur les points qui ont fait l’objet du renvoi, lesquels ne peuvent être ni étendus, ni fixés sur une base juridique nouvelle (ATF 131 III 91 consid. 5.2 p. 94 ; arrêt du Tribunal fédéral 6B_534/2011 du 5 janvier 2012 consid. 1.2).</w:t>
      </w:r>
    </w:p>
    <w:p>
      <w:r>
        <w:rPr>
          <w:b/>
        </w:rPr>
        <w:t>E. 1.2</w:t>
      </w:r>
    </w:p>
    <w:p>
      <w:r>
        <w:t>La juridiction d'appel a été invitée par le Tribunal fédéral à examiner uniquement la question de l'atténuation de la peine pour le long temps écoulé à l'aune de l'art. 48 let. e CP pour les faits commis entre le 29 mars 2001 et 2003.</w:t>
      </w:r>
    </w:p>
    <w:p>
      <w:r>
        <w:rPr>
          <w:b/>
        </w:rPr>
        <w:t>E. 2.1</w:t>
      </w:r>
    </w:p>
    <w:p>
      <w:r>
        <w:t>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132 IV 1 consid. 6.2 p. 2 ; arrêts du Tribunal fédéral 6B_14/2009 du 11 juin 2009 consid. 2.1 et 6B_646/2008 du 23 avril 2009 consid. 4.2.1). Le juge doit se référer à la date à laquelle les faits ont été souverainement établis, et non au jugement de premier instance. Ainsi, lorsque le condamné a fait appel et qu'en vertu de la procédure cantonale, ce recours a un effet dévolutif et suspensif, il faut prendre en considération le moment où le jugement de seconde instance a été rendu (ATF 132 IV 1 consid. 6.2.1 p. 4 ; arrêt du Tribunal fédéral 6B_10/2010 du 10 mai 2010 consid. 2.4). L'art. 101 al. 1 let. e CP dispose que sont imprescriptibles les actes d'ordre sexuel avec des enfants (art. 187 ch. 1), la contrainte sexuelle (art. 189), le viol (art. 190), les actes d'ordre sexuel commis sur une personne incapable de discernement ou de résistance (art. 191), les actes d'ordre sexuel avec des personnes hospitalisées, détenues ou prévenues (art. 192 al. 1) et l'abus de la détresse (art. 193 al. 1), lorsqu'ils ont été commis sur des enfants de moins de 12 ans. Cette imprescriptibilité a pour effet que l'admission de la circonstance atténuante du long temps écoulé ne doit être admise qu'avec une grande retenue, à supposer qu'elle soit encore envisageable. C'est en effet pour protéger les victimes d'abus, qui laissent souvent des années s'écouler avant de déposer plainte, que le législateur a nouvellement introduit l'imprescriptibilité de ces infractions. Admettre que ce long temps profite aux agresseurs, en les mettant au bénéfice de la circonstance atténuante</w:t>
      </w:r>
    </w:p>
    <w:p>
      <w:r>
        <w:t>- 6/9 - P/11769/2011 de l'art. 48 let. e CP, mettrait à néant cette volonté de protection (AARP/81/2014 du 27 février 2014 consid. 4.2.1- 4.2.3).</w:t>
      </w:r>
    </w:p>
    <w:p>
      <w:r>
        <w:rPr>
          <w:b/>
        </w:rPr>
        <w:t>E. 2.2</w:t>
      </w:r>
    </w:p>
    <w:p>
      <w:r>
        <w:t>Seule reste désormais à trancher la quotité de la réduction de peine devant être accordée au prévenu au titre de la circonstance atténuante du temps écoulé depuis l'infraction, ce pour les actes commis entre le 29 mars 2001et 2003. Comme relevé à juste titre par le Ministère public, la période pénale concernée par cette circonstance atténuante est celle où la fréquence des actes a été bien moindre que celle reprochée auparavant. De 1997 à 2001, la CPAR a retenu à l'encontre de l'appelant la commission de trente actes délictueux, dans l'appartement de la partie plaignante ou dans une voiture. Après 2001, la CPAR a retenu des caresses effectuées sur les fesses de la victime à cinq reprises, dans la maison en ______ de l'appelant. Dès 2001, la fréquence des actes a ainsi drastiquement diminué, de même que leur caractère intrusif puisqu'en particulier l'introduction vaginale, intervenue à cinq reprises durant la période des cours d'appui scolaire, soit de 1997 à juin 1999, a cessé ensuite. Tenant compte de ces éléments, la peine sera réduite de 6 mois et ainsi arrêtée à 30 mois, dont 15 assortis du sursis.</w:t>
      </w:r>
    </w:p>
    <w:p>
      <w:r>
        <w:rPr>
          <w:b/>
        </w:rPr>
        <w:t>E. 3</w:t>
      </w:r>
    </w:p>
    <w:p>
      <w:r>
        <w:t>Les frais de la procédure d'appel postérieurs à l'arrêt du Tribunal fédéral seront laissés à charge de l'Etat.</w:t>
      </w:r>
    </w:p>
    <w:p>
      <w:r>
        <w:rPr>
          <w:b/>
        </w:rPr>
        <w:t>E. 4.1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est compétente, au sens de l'art. 135 al. 2 CPP, pour statuer sur l'activité postérieure à l'arrêt du Tribunal fédéral.</w:t>
      </w:r>
    </w:p>
    <w:p>
      <w:r>
        <w:rPr>
          <w:b/>
        </w:rPr>
        <w:t>E. 4.2</w:t>
      </w:r>
    </w:p>
    <w:p>
      <w:r>
        <w:t>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w:t>
      </w:r>
    </w:p>
    <w:p>
      <w:r>
        <w:t>- 7/9 - P/11769/2011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l'Etat ne devant pas assumer la charge financière de la formation de l'avocat stagiaire, laquelle incombe à son maître de stage, ou la formation continue de l'avocat breveté.</w:t>
      </w:r>
    </w:p>
    <w:p>
      <w:r>
        <w:rPr>
          <w:b/>
        </w:rPr>
        <w:t>E. 4.3</w:t>
      </w:r>
    </w:p>
    <w:p>
      <w:r>
        <w:t>Me B______, défenseur d'office de l'appelant, a déposé devant la CPAR un état de frais pour l'activité déployée à compter du retour de la procédure suite à l'arrêt du Tribunal fédéral du 27 novembre 2014, pour 5h30 d'activité, soit 1h00 de conférence avec son mandant, 1h30 pour l'étude du dossier et 3h00 pour la rédaction du mémoire d'appel. Les postes d'étude du dossier et de rédaction du mémoire d'appel seront réduits à 3h30 dans la mesure où la défense de l'appelant dans le cadre précisément fixé par le Tribunal fédéral ne nécessitait pas de nouvelles recherches ou développements autres que ceux exposés précédemment. Par conséquent, l'état de frais sera admis à concurrence de 4h30 d'activité de chef d'étude, ce qui correspond à une indemnité de base de CHF 900.-. Il convient d'ajouter à ce montant l'indemnisation forfaitaire de 10%, compte tenu de l'ampleur de l'activité déployée en première et seconde instance et d'ores et déjà taxée, sans TVA vu le domicile du prévenu à l'étranger (______). * * * * *</w:t>
      </w:r>
    </w:p>
    <w:p>
      <w:r>
        <w:t>- 8/9 - P/11769/2011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