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AARP/169/2014 vom 7. April 2014</w:t>
      </w:r>
    </w:p>
    <w:p>
      <w:r>
        <w:t>GE Cour de justice, 2014-04-07, FR</w:t>
      </w:r>
    </w:p>
    <w:p>
      <w:r>
        <w:rPr>
          <w:b/>
        </w:rPr>
        <w:t xml:space="preserve">Quelle: </w:t>
      </w:r>
      <w:r>
        <w:t>https://mcp.opencaselaw.ch/entscheid/ge_gerichte_AARP_169_2014</w:t>
      </w:r>
    </w:p>
    <w:p>
      <w:r>
        <w:t>FR: GE_GERICHTE AARP/169/2014 du 7 avril 2014</w:t>
      </w:r>
    </w:p>
    <w:p>
      <w:r>
        <w:t>IT: GE_GERICHTE AARP/169/2014 del 7 aprile 2014</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t>- 4/6 - PM/275/2014</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Bâle 2007, n. 5 ad art. 86 ; S. TRECHSEL, Schweizerisches Strafgesetzbuch : Praxiskommentar,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KUHN/L. MOREILLON/B. VIREDAZ/ A. BISCHOFSKY, La nouvelle partie générale du Code pénal suisse, Berne, 2006, p. 361, S. TRECHSEL, op. cit.,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r>
        <w:t>- 5/6 - PM/275/2014 Il convient par ailleurs d'examiner si le danger que représente le détenu au moment de sa libération augmenterait, diminuerait ou resterait inchangé en cas d'exécution complète de la peine (A. KUHN/L. MOREILLON/B. VIREDAZ/A. BISCHOFSKY, op. cit., p. 361).</w:t>
      </w:r>
    </w:p>
    <w:p>
      <w:r>
        <w:rPr>
          <w:b/>
        </w:rPr>
        <w:t>E. 2.3</w:t>
      </w:r>
    </w:p>
    <w:p>
      <w:r>
        <w:t>En l’espèce, la condition objective prévue par l’art. 86 al. 1 CP est réalisée depuis le 16 janvier 2014. Au plan subjectif, il est vrai que la situation de l'appelant est précaire. Pour autant, ses projets ne paraissent pas totalement illusoires, rien ne permettant de douter de l'existence de sa compagne et de leur enfant, régulièrement enregistrés à Genève. L'appelant ne peut se voir reprocher d'avoir déjà trompé la confiance placée en lui, n'ayant jamais bénéficié d'une libération conditionnelle. Les préavis des autorités compétentes, MP compris, sont favorables. Il a des antécédents, mais ils ne sont pas lourds et il a correctement souligné que la dernière condamnation pour des infractions ne relevant pas de son statut d'étranger remonte à fin 2010. Dans ces circonstances, on ne saurait soutenir que le risque de récidive de telles infractions serait sérieux. Il est douteux que le danger que représente le risque de réitération de violations de la LEtr puisse à lui seul justifier le refus d'une libération conditionnelle. Aussi, il convient de faire droit à l'appel et d'octroyer cette mesure.</w:t>
      </w:r>
    </w:p>
    <w:p>
      <w:r>
        <w:rPr>
          <w:b/>
        </w:rPr>
        <w:t>E. 3</w:t>
      </w:r>
    </w:p>
    <w:p>
      <w:r>
        <w:t>Vu l'issue de la procédure, les frais en seront laissés à la charge de l'Etat. * * * * *</w:t>
      </w:r>
    </w:p>
    <w:p>
      <w:r>
        <w:t>- 6/6 - PM/275/2014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