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AARP/166/2020 vom 29. April 2020</w:t>
      </w:r>
    </w:p>
    <w:p>
      <w:r>
        <w:t>GE Cour de justice, 2020-04-29, FR</w:t>
      </w:r>
    </w:p>
    <w:p>
      <w:r>
        <w:rPr>
          <w:b/>
        </w:rPr>
        <w:t xml:space="preserve">Quelle: </w:t>
      </w:r>
      <w:r>
        <w:t>https://mcp.opencaselaw.ch/entscheid/ge_gerichte_AARP_166_2020</w:t>
      </w:r>
    </w:p>
    <w:p>
      <w:r>
        <w:t>FR: GE_GERICHTE AARP/166/2020 du 29 avril 2020</w:t>
      </w:r>
    </w:p>
    <w:p>
      <w:r>
        <w:t>IT: GE_GERICHTE AARP/166/2020 del 29 aprile 2020</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novembre 2009 consid. 2.1).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w:t>
      </w:r>
    </w:p>
    <w:p>
      <w:r>
        <w:rPr>
          <w:b/>
        </w:rPr>
        <w:t>E. 6</w:t>
      </w:r>
    </w:p>
    <w:p>
      <w:r>
        <w:t>Il n'y a pas lieu de revenir sur l’indemnité en tort moral accordée à E______ selon l'art. 49 de la loi fédérale du 30 mars 1911, complétant le Code civil suisse (CO, Code des obligations - RS 220), dont l’octroi n'est à juste titre pas critiqué. Le premier juge a toutefois condamné les époux A______/C______ au versement conjoint et solidaire à E______ de la somme de CHF 200.- au titre de cette indemnité. Acquittée des chefs d'inculpation à l'égard de son enfant, l'appelante ne sera pas astreinte au versement de cette somme. La décision entreprise sera réformée sur ce point.</w:t>
      </w:r>
    </w:p>
    <w:p>
      <w:r>
        <w:rPr>
          <w:b/>
        </w:rPr>
        <w:t>E. 7</w:t>
      </w:r>
    </w:p>
    <w:p>
      <w:r>
        <w:t>7.1.1.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- 23/26 - P/5125/2017</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7.2.1. En l’occurrence, l’état de frais produit par Me B______, conseil de A______, fait état de 10 heures d’étude du dossier et de préparation à l’audience d’appel. Cette activité ne se justifiait pas et sera ramenée à quatre heures, amplement suffisantes à ce stade de la procédure, le dossier étant censé bien connu du défendeur qui venait de le plaider en première instance et de déposer une déclaration d’appel motivée, pour laquelle il a d’ailleurs facturé trois heures de rédaction alors que le temps consacré à la rédaction de la déclaration d'appel et des brèves déterminations est censé compris dans l'indemnisation forfaitaire conformément aux critères rappelés ci-dessus.</w:t>
      </w:r>
    </w:p>
    <w:p>
      <w:r>
        <w:t>L'indemnité sera ainsi arrêtée à CHF 3'198.70 correspondant à 13h30 d'activité de chef d’étude au tarif de CHF 200.-/heure (CHF 2'700.-) plus la majoration forfaitaire de 10% (CHF 270.-) et l'équivalent de la TVA au taux de 7.7%, en CHF 228.70. 7.2.2. L’état de frais produit par Me D______, conseil de C______, paraît adéquat et conforme aux dispositions et principes qui précèdent, de sorte qu’il sera admis sans en reprendre le détail.</w:t>
      </w:r>
    </w:p>
    <w:p>
      <w:r>
        <w:t>En conclusion, son indemnité sera arrêtée à CHF 1'658,60 correspondant à sept heures d'activité de chef d’étude au tarif de CHF 200.-/heure (CHF 1'400.-) plus la majoration forfaitaire de 10% (CHF 140.-) et l'équivalent de la TVA au taux de 7.7%, en CHF 118,60.</w:t>
      </w:r>
    </w:p>
    <w:p>
      <w:r>
        <w:t>* * * * *</w:t>
      </w:r>
    </w:p>
    <w:p>
      <w:r>
        <w:t>- 24/26 - P/5125/2017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