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AARP/165/2020 vom 30. April 2020</w:t>
      </w:r>
    </w:p>
    <w:p>
      <w:r>
        <w:t>GE Cour de justice, 2020-04-30, FR</w:t>
      </w:r>
    </w:p>
    <w:p>
      <w:r>
        <w:rPr>
          <w:b/>
        </w:rPr>
        <w:t xml:space="preserve">Quelle: </w:t>
      </w:r>
      <w:r>
        <w:t>https://mcp.opencaselaw.ch/entscheid/ge_gerichte_AARP_165_2020</w:t>
      </w:r>
    </w:p>
    <w:p>
      <w:r>
        <w:t>FR: GE_GERICHTE AARP/165/2020 du 30 avril 2020</w:t>
      </w:r>
    </w:p>
    <w:p>
      <w:r>
        <w:t>IT: GE_GERICHTE AARP/165/2020 del 30 aprile 2020</w:t>
      </w:r>
    </w:p>
    <w:p>
      <w:pPr>
        <w:pStyle w:val="Heading2"/>
      </w:pPr>
      <w:r>
        <w:t>Erwägungen</w:t>
      </w:r>
    </w:p>
    <w:p>
      <w:r>
        <w:rPr>
          <w:b/>
        </w:rPr>
        <w:t>E. 1.1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t>- 5/12 - P/15401/2019</w:t>
      </w:r>
    </w:p>
    <w:p>
      <w:r>
        <w:rPr>
          <w:b/>
        </w:rPr>
        <w:t>E. 1.2</w:t>
      </w:r>
    </w:p>
    <w:p>
      <w:r>
        <w:t>Conformément à l'art. 129 al. 4 LOJ,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selon lequel le jugement est juridiquement erroné ou l'état de fait a été établi de manière manifestement inexacte ou en violation du droit. Aucune nouvelle allégation ou preuve ne peut être produite (art. 398 al. 4 CPP).</w:t>
      </w:r>
    </w:p>
    <w:p>
      <w:r>
        <w:t>Le pouvoir d'examen de l'autorité d'appel est ainsi limité dans l'appréciation des faits à ce qui a été établi de manière arbitraire (arrêt du Tribunal fédéral 6B_362/2012 du 29 octobre 2012 consid. 5.2). En outre, aucune allégation ou preuve nouvelle ne peut être produite devant l'instance d'appel (art. 398 al. 4, 2e phrase CPP). Il s'agit là d'une exception au principe du plein pouvoir de cognition de l'autorité de deuxième instance qui conduit à qualifier d'appel "restreint" cette voie de droit (arrêt du Tribunal fédéral 1B_768/2012 du 15 janvier 2013 consid. 2.1). En revanche, la partie appelante peut valablement renouveler en appel les réquisitions de preuve formulées devant le premier juge et qui ont été rejetées (arrêt du Tribunal fédéral 6B_202/2015 du 28 octobre 2015 consid. 2.2 et les arrêts cités).</w:t>
      </w:r>
    </w:p>
    <w:p>
      <w:r>
        <w:t>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2</w:t>
      </w:r>
    </w:p>
    <w:p>
      <w:r>
        <w:t>2.1.1. L'art. 90 al. 1 LCR punit de l'amende celui qui viole les règles de circulation prévues par cette loi ou ses dispositions d'exécution. L'art. 90 al. 1 LCR constitue la base légale pour réprimer les violations des règles de la circulation. Cette disposition étant générale et abstraite, elle doit être complétée par l'indication de la ou des règles concrètes de circulation qui ont été violées (ATF 100 IV 71 consid. 1). En effet, elle n'a pas de portée propre, dès lors qu'elle se contente d'ériger en contravention toute infraction simple à cette loi (alinéa 1). Le jugement doit énoncer, dans ses motifs, les règles de la circulation qui ont été violées (JEANNERET, Les dispositions pénales de la Loi sur la circulation routière – LCR, Berne 2007, n. 15 ad art. 90 LCR).</w:t>
      </w:r>
    </w:p>
    <w:p>
      <w:r>
        <w:t>2.1.2. Chacun doit se comporter, dans la circulation, de manière à ne pas gêner ni mettre en danger ceux qui utilisent la route conformément aux règles établies (art. 26 al. 1 LCR). De cette disposition est déduit le principe de la confiance qui permet à l'usager, qui se comporte réglementairement, d'attendre des autres usagers, aussi longtemps que des circonstances particulières ne doivent pas l'en dissuader, qu'ils se comportent de manière conforme aux règles de la circulation, c'est-à-dire ne le gênent pas ni ne le mettent en danger (ATF 125 IV 83 consid. 2b p. 87 ; ATF 118 IV 277 consid. 4a p. 280 ; arrêt du Tribunal fédéral 6B_959/2016 du 6 juillet</w:t>
      </w:r>
    </w:p>
    <w:p>
      <w:r>
        <w:t>- 6/12 - P/15401/2019 2017 consid. 2.2). L'art. 26 al. 1 LCR énonce une règle de prudence. L'automobiliste qui circule sur une route droite ne présentant aucun danger doit aussi compter avec le freinage du véhicule qui précède (A. BUSSY / B. RUSCONI / Y. JEANNERET / A. KUHN / C. MIZEL / CH. MÜLLER, Code suisse de la circulation routière : commentaire, 4e éd., Lausanne 2015, n. 3.1). Il doit à cet égard faire preuve d'une attention ordinaire, de manière à pouvoir ensuite réagir rapidement en cas de danger.</w:t>
      </w:r>
    </w:p>
    <w:p>
      <w:r>
        <w:t>2.1.3. Le conducteur d'un véhicule est tenu d'en rester constamment maître de façon à pouvoir se conformer aux devoirs de la prudence (art. 31 al. 1 LCR). Il vouera, en particulier, son attention à la route et à la circulation (art. 3 al. 1 1ère phrase OCR). Le degré de cette attention s'apprécie en regard de l'ensemble des circonstances, telles que la densité du trafic, la configuration des lieux, l'heure, la visibilité, les sources de danger prévisibles, etc. (ATF 122 IV 225 consid. 2b p. 228 ; arrêt du Tribunal fédéral 6S_186/2002 du 25 juillet 2002 consid. 2.2). L'attention requise du conducteur implique qu'il soit en mesure de parer rapidement aux dangers qui menacent la vie, l'intégrité corporelle ou les biens matériels d'autrui (arrêts du Tribunal fédéral 6B_786/2011 du 5 juillet 2012 consid. 2.1 et 6B_216/2010 du 11 mai 2010 consid. 5.1) et la maîtrise du véhicule exige que le conducteur soit, à tout moment, en mesure d'actionner rapidement les commandes de son véhicule en mouvement, de façon à pouvoir, en présence d'un danger, manœuvrer immédiatement et d'une manière appropriée aux circonstances en présence d'un danger quelconque (A. BUSSY / B. RUSCONI / Y. JEANNERET / A. KUHN / C. MIZEL / CH. MÜLLER, op. cit., n. 2 ad art. 31). Est considéré comme fautif le fait de tarder de freiner (ATF 106 IV 391 consid. 1 a).</w:t>
      </w:r>
    </w:p>
    <w:p>
      <w:r>
        <w:t>2.1.4. La violation, par le conducteur, de devoirs de prudence imposés par les règles de la circulation routière doit être fautive (ATF 122 IV 133 consid. 2a p. 135 ; arrêt du Tribunal fédéral 6B_253/2012 du 7 septembre 2012 consid. 3.2). Tel est le cas lorsque l'on peut reprocher à l'auteur, compte tenu de ses circonstances personnelles, de n'avoir pas déployé l'attention et les efforts qu'on pouvait attendre de lui pour se conformer à son devoir de prudence (ATF 129 IV 119 consid. 2.1 p. 121 ; 122 IV 17 consid. 2b p. 19 ; 121 IV 207 consid. 2a p. 211).</w:t>
      </w:r>
    </w:p>
    <w:p>
      <w:r>
        <w:t>2.1.5. La violation fautive de devoirs de prudence doit être la cause naturelle et adéquate de l'accident (ATF 133 IV 158 consid. 6 p. 167 ; 129 IV 119 consid. 2.4 p. 123).</w:t>
      </w:r>
    </w:p>
    <w:p>
      <w:r>
        <w:t>Un comportement est la cause naturelle d'un résultat s'il en constitue l'une des conditions sine qua non, c'est-à-dire lorsque, sans lui, le résultat ne se serait pas produit (ATF 138 IV 57 consid. 4.1.3 p. 61 ; arrêt du Tribunal fédéral 6B_253/2012 précité, consid. 3.3.2).</w:t>
      </w:r>
    </w:p>
    <w:p>
      <w:r>
        <w:t>Le rapport de causalité peut être qualifié d'adéquat si, d'après le cours ordinaire des choses et l'expérience générale de la vie, le comportement était propre à entraîner un résultat du genre de celui qui s'est produit (ATF 138 IV 57 consid. 4.1.3 p. 61 ; arrêt</w:t>
      </w:r>
    </w:p>
    <w:p>
      <w:r>
        <w:t>- 7/12 - P/15401/2019 du Tribunal fédéral 6B_253/2012 précité, consid. 3.3.2). La causalité adéquate sera admise même lorsque le comportement de l'auteur n'est pas la cause directe ou unique du résultat. Peu importe que le résultat soit dû à d'autres causes, notamment à l'état de la victime, à son comportement ou à celui de tiers (ATF 131 IV 145 consid. 5.2 p. 148 ; arrêt du Tribunal fédéral 6B_253/2012 précité). La causalité adéquate peut toutefois être exclue si une autre cause concomitante, par exemple le comportement de la victime, constitue une circonstance tout à fait exceptionnelle ou apparaît si extraordinaire que l'on ne pouvait s'y attendre. L'imprévisibilité d'un acte concurrent ne suffit pas, en soi, à interrompre le rapport de causalité adéquate. Il faut encore que cet acte revête une importance telle qu'il s'impose comme la cause la plus probable et la plus immédiate de l'évènement considéré, reléguant à l'arrière-plan tous les autres facteurs qui ont contribué à l'amener et notamment le comportement de l'auteur (ATF 134 IV 255 consid. 4.4.2 p. 265 s. et les arrêts cités ; arrêt du Tribunal fédéral 6B_253/2012 précité).</w:t>
      </w:r>
    </w:p>
    <w:p>
      <w:r>
        <w:t>2.1.6. A teneur de l'art. 34 al. 4 LCR, le conducteur doit observer une distance suffisante envers tous les usagers de la route, notamment lorsque des véhicules se suivent. Il doit également, lorsque des véhicules se suivent, pouvoir s'arrêter à temps en cas de freinage inattendu (art. 12 al. 1 OCR). Le freinage inattendu inclut le freinage brusque (ATF 131 IV 133 consid. 3.1). En règle générale, il appartient au conducteur du véhicule de derrière de veiller au respect de la distance raisonnable (ATF 137 IV 326 consid. 3.3.3).</w:t>
      </w:r>
    </w:p>
    <w:p>
      <w:r>
        <w:t>2.1.7. Selon l'art. 37 LCR, le conducteur qui veut s'arrêter aura égard, dans la mesure du possible, aux véhicules qui suivent. A teneur de l'art. 12 al. 2 OCR, les coups de frein et arrêts brusques ne sont admis que si aucun véhicule ne suit. L'art. 37 LCR ne concerne que le cas d'un arrêt voulu et par conséquent prévisible. On ne se trouve pas en présence d'un cas remplissant ces conditions lorsqu'un conducteur est contraint de freiner brusquement pour des circonstances externes, par exemple en raison d'un véhicule circulant devant lui ou de l'apparition soudaine d'un obstacle (ATF 115 IV 248 consid. 4 b). Dans une telle situation qui oblige le conducteur à concentrer toute son attention vers l'avant ou les côtés, on ne peut exiger de lui qu'il ne freine pas brutalement sans s'être assuré dans le rétroviseur s'il se trouve derrière lui un véhicule qu'il pourrait éventuellement mettre en danger. C'est au véhicule qui suit de se préoccuper de maintenir une distance adéquate avec le véhicule qui le précède (ATF 137 IV 326 consid. 3.3.3).</w:t>
      </w:r>
    </w:p>
    <w:p>
      <w:r>
        <w:t>2.2.1. En l'espèce, il est constant que l'intimée a heurté avec l'avant de son véhicule l'arrière de l'automobile de E______ après que ce dernier et D______ ont freiné en raison de l'immobilisation du véhicule du gendarme B______. Les deux automobiles précédant l'intimée, E______ et D______, ont ainsi eu le temps de s'arrêter et d'éviter le choc avec le véhicule les précédant respectivement, ce qui n'a pas été le cas de l'intimée. Elle soutient n'avoir pas eu le temps de réagir avant le choc étant donné qu'elle circulait, selon ses assertions, tantôt à 70 km/h, tantôt à 80 km/h, et l'arrêt brusque de la circulation.</w:t>
      </w:r>
    </w:p>
    <w:p>
      <w:r>
        <w:t>- 8/12 - P/15401/2019</w:t>
      </w:r>
    </w:p>
    <w:p>
      <w:r>
        <w:t>Il ressort néanmoins des images de vidéosurveillance que la distance séparant les automobiles D______ et E______ était inférieure à celle séparant celles de E______ et de l'intimée ce qui plaide en sa faveur du respect d'une distance suffisante avec la voiture la précédant. Or, malgré une distance moindre, l'automobiliste E______ a pu s'arrêter sans heurter le véhicule de D______. Au contraire, avec une distance plus importante, l'intimée n'a pu éviter le choc avec l'automobiliste E______. Ceci peut s'expliquer par le fait qu'elle n'était, à teneur des mêmes images, pas encore en train de freiner à son arrivée dans le champ de la caméra de vidéosurveillance, contrairement aux conducteurs E______ et D______ qui avaient alors déjà fortement ralenti en raison de l'immobilisation de B______.</w:t>
      </w:r>
    </w:p>
    <w:p>
      <w:r>
        <w:t>Ainsi, quand bien même la route était droite et ne présentait de prime abord aucun danger, l'intimée devait compter avec la possibilité d'un freinage des véhicules qui la précédaient, ce qui, dans le cours ordinaire et l'expérience générale de la vie n'a rien d'extraordinaire, même sur un tronçon de route à deux voies limité à 80 km/h sur lequel un obstacle peut survenir à tout moment, que ce soit un piéton, un animal ou par exemple un carton. Il doit ainsi être retenu que l'intimée n'a pas fait preuve de toute l'attention requise pour parer aux dangers potentiels de la circulation, lesquels se sont matérialisée en l'espèce, et n'a pas réagi promptement, violant ainsi son devoir de prudence. Elle n'a pas eu le réflexe requis de freiner immédiatement, ce qui aurait pu éviter qu'elle n'entre en collision avec le véhicule E______. Enfin, quand bien même il ressort effectivement des images de vidéosurveillance que le véhicule précédant directement l'intimée était un fourgon, cela l'obligeait à faire d'autant plus preuve d'une vigilance et d'une prudence accrues et ne l'exempte nullement de sa faute.</w:t>
      </w:r>
    </w:p>
    <w:p>
      <w:r>
        <w:t>2.2.2. Selon l'intimée, le véhicule de police a adopté une manœuvre particulièrement dangereuse en se déplaçant d'abord sur la voie de droite de la route puis ensuite sur la voie de gauche sans prévenir quiconque et empêchant de la sorte les véhicules qui le précédaient d'anticiper son freinage sauvage et inopportun. Le TP, quant à lui, a estimé que l'intimée était "légitimée à se prévaloir d'une violation du principe de la confiance par l'agent de police B______, consistant à freiner soudainement au milieu d'une voie rapide, pour parer à un danger non avéré et sans actionner les feus bleus ou la sirène de son véhicule". Et le TP de conclure que même si l'intimée avait fait preuve d'inattention, le comportement du policier était exceptionnel au point de rompre le lien de causalité adéquate entre une éventuelle faute de la prévenue et l'accident.</w:t>
      </w:r>
    </w:p>
    <w:p>
      <w:r>
        <w:t>2.2.3. Ces raisonnements ne sauraient être suivis. Le gendarme B______ a en effet déclaré avoir freiné de manière progressive de façon à ne pas surprendre les véhicules qui le suivaient. Ses déclarations sont corroborées par le rapport RAG 2000 A+ qui démontre le début du freinage 84 m avant son arrêt et un laps de temps de 7.6 secondes entre l'actionnement du frein et l'arrêt final. Le conducteur D______ a corroboré ces éléments, ayant qualifié de non brusque le freinage du véhicule de</w:t>
      </w:r>
    </w:p>
    <w:p>
      <w:r>
        <w:t>- 9/12 - P/15401/2019 police de sorte qu'il a eu le temps de s'arrêter à environ 1.50 m dudit véhicule. Le gendarme B______ a encore expliqué qu'avant de freiner, il s'était assuré en regardant dans les rétroviseurs que les véhicules le suivant pourraient s'arrêter.</w:t>
      </w:r>
    </w:p>
    <w:p>
      <w:r>
        <w:t>Certes, il n'a enclenché le clignotant de direction et n'a actionné les feus bleus qu'une fois immobilisé. Il n'en demeure pas moins que ces comportements ne sont pas de nature à rompre le lien de causalité entre la faute de l'intimée et l'accident qui s'est produit. Tout d'abord, les feux bleus de la voiture de police étaient enclenchés avant le choc qui s'est produit entre la voiture de l'intimée et celle de E______. Ensuite, même si le gendarme B______ a commis une faute en n'enclenchant pas le clignotant de direction alors qu'il se déportait légèrement sur la voie de droite, tel comportement n'est pas de nature à rompre le lien de causalité adéquate entre le manque d'attention reproché à l'intimée et le heurt qui s'est produit entre sa voiture et celle de E______. Comme déjà relevé, nonobstant ces circonstances, moyennant un freinage immédiat et appuyé, à l'instar du témoin E______, elle aurait en effet pu empêcher la collision.</w:t>
      </w:r>
    </w:p>
    <w:p>
      <w:r>
        <w:t>2.2.4. Ainsi, au regard de ce qui précède, l'appel du MP sera admis sur ce point et l'intimée sera déclaré coupable de violation simple des règles de la circulation routière (art. 90 al. 1 LCR).</w:t>
      </w:r>
    </w:p>
    <w:p>
      <w:r>
        <w:rPr>
          <w:b/>
        </w:rPr>
        <w:t>E. 3</w:t>
      </w:r>
    </w:p>
    <w:p>
      <w:r>
        <w:t>3.1.1. La peine prévue par l'art. 90 al. 1 LCR est une amende.</w:t>
      </w:r>
    </w:p>
    <w:p>
      <w:r>
        <w:t>3.1.2. Selon l'art. 106 CP, sauf disposition contraire de la loi, le montant maximum de l'amende est de CHF 10'000.-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Le paiement ultérieur de l'amende entraîne une réduction proportionnelle de la peine privative de liberté de substitution (al. 4).</w:t>
      </w:r>
    </w:p>
    <w:p>
      <w:r>
        <w:t>A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citées).</w:t>
      </w:r>
    </w:p>
    <w:p>
      <w:r>
        <w:t>Un jour de peine privative de liberté de substitution correspond schématiquement à CHF 100.- d'amende (R. ROTH / L. MOREILLON [éds], Code pénal I : art. 1-100 CP, Bâle 2009, n. 19 ad art. 106 CP).</w:t>
      </w:r>
    </w:p>
    <w:p>
      <w:r>
        <w:t>- 10/12 - P/15401/2019</w:t>
      </w:r>
    </w:p>
    <w:p>
      <w:r>
        <w:rPr>
          <w:b/>
        </w:rPr>
        <w:t>E. 3.2</w:t>
      </w:r>
    </w:p>
    <w:p>
      <w:r>
        <w:t>En l'espèce, la faute de l'intimée est d'une gravité moyenne dans la mesure où elle a causé un accident avec des dégâts matériels suite à un manque d'attention.</w:t>
      </w:r>
    </w:p>
    <w:p>
      <w:r>
        <w:t>Sa collaboration à la procédure est sans particularité. Elle ne semble pas avoir pris conscience de la faute commise rejetant la responsabilité de l'accident sur la voiture de police.</w:t>
      </w:r>
    </w:p>
    <w:p>
      <w:r>
        <w:t>Elle n'a aucun antécédent judiciaire en Suisse, élément toutefois neutre s'agissant de la fixation de la peine.</w:t>
      </w:r>
    </w:p>
    <w:p>
      <w:r>
        <w:t>Compte tenu de ce qui précède et de la situation financière modeste de l'intimée, l'amende sera fixée à CHF 500.- et la peine privative de liberté de substitution de cinq jours.</w:t>
      </w:r>
    </w:p>
    <w:p>
      <w:r>
        <w:rPr>
          <w:b/>
        </w:rPr>
        <w:t>E. 4</w:t>
      </w:r>
    </w:p>
    <w:p>
      <w:r>
        <w:t>4.1.1.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(arrêts du Tribunal fédéral 6B_472/2018 du 22 août 2018 consid. 1.2 ; 6B_620/2016 du 17 mai 2017 consid. 2.1.2).</w:t>
      </w:r>
    </w:p>
    <w:p>
      <w:r>
        <w:t>4.1.2. L'intimée, condamnée en seconde instance, succombe dans ses conclusions et supportera partant les frais de la procédure d'appel, comprenant un émolument de jugement de CHF 1'000.-</w:t>
      </w:r>
    </w:p>
    <w:p>
      <w:r>
        <w:rPr>
          <w:b/>
        </w:rPr>
        <w:t>E. 4.2</w:t>
      </w:r>
    </w:p>
    <w:p>
      <w:r>
        <w:t>Des suites de sa condamnation, elle sera également condamnée aux frais de première instance (art. 428 al. 3 et 426 al. 1CPP).</w:t>
      </w:r>
    </w:p>
    <w:p>
      <w:r>
        <w:rPr>
          <w:b/>
        </w:rPr>
        <w:t>E. 5.1</w:t>
      </w:r>
    </w:p>
    <w:p>
      <w:r>
        <w:t>La question de l'indemnisation du prévenu (art. 429 à 434 CPP) doit être traitée en relation avec celle des frais. Dans cette mesure, la décision sur les frais préjuge de la question de l'indemnisation. Cela a principalement pour conséquence que si le prévenu supporte les frais en application de l'art. 426 al. 1 ou 2 CPP, une indemnité est en règle générale exclue.</w:t>
      </w:r>
    </w:p>
    <w:p>
      <w:r>
        <w:rPr>
          <w:b/>
        </w:rPr>
        <w:t>E. 5.2</w:t>
      </w:r>
    </w:p>
    <w:p>
      <w:r>
        <w:t>En l'occurrence, l'intimée ne saurait prétendre à une quelconque indemnisation de ses frais de défense, tant pour la première instance, qu'en appel.</w:t>
      </w:r>
    </w:p>
    <w:p>
      <w:r>
        <w:t>* * * * *</w:t>
      </w:r>
    </w:p>
    <w:p>
      <w:r>
        <w:t>- 11/12 - P/15401/2019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