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AARP/165/2016 vom 24. März 2016</w:t>
      </w:r>
    </w:p>
    <w:p>
      <w:r>
        <w:t>GE Cour de justice, 2016-03-24, FR</w:t>
      </w:r>
    </w:p>
    <w:p>
      <w:r>
        <w:rPr>
          <w:b/>
        </w:rPr>
        <w:t xml:space="preserve">Quelle: </w:t>
      </w:r>
      <w:r>
        <w:t>https://mcp.opencaselaw.ch/entscheid/ge_gerichte_AARP_165_2016</w:t>
      </w:r>
    </w:p>
    <w:p>
      <w:r>
        <w:t>FR: GE_GERICHTE AARP/165/2016 du 24 mars 2016</w:t>
      </w:r>
    </w:p>
    <w:p>
      <w:r>
        <w:t>IT: GE_GERICHTE AARP/165/2016 del 24 marzo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- 7/21 - P/14772/2015</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Rien ne s'oppose à ne</w:t>
      </w:r>
    </w:p>
    <w:p>
      <w:r>
        <w:t>- 8/21 - P/14772/2015 retenir qu'une partie des déclarations d'un témoin globalement crédible (ATF 120 Ia 31 consid. 3 p. 39 ; arrêt du Tribunal fédéral 6B_637/2012 du 21 janvier 2013 consid. 5.4).</w:t>
      </w:r>
    </w:p>
    <w:p>
      <w:r>
        <w:rPr>
          <w:b/>
        </w:rPr>
        <w:t>E. 2.2</w:t>
      </w:r>
    </w:p>
    <w:p>
      <w:r>
        <w:t>À teneur de l'art. 140 ch. 1 al.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1er octobre 2012 consid. 1.2.1). L'art. 140 ch. 1 al 2 CP étend cette notion à celui qui, pris en flagrant délit de vol, aura commis un des actes de contraintes mentionnés à l'al. 1 dans le but de garder la chose volée. 2.3.1. Commet un vol au sens de l'art. 139 ch. 1 CP celui qui, pour se procurer ou procurer à un tiers un enrichissement illégitime, aura soustrait une chose mobilière appartenant à autrui dans le but de se l'approprier. Dans l'hypothèse d'un magasin en libre-service, la soustraction est réalisée lorsque l'auteur s'empare d'un objet et le dissimule sur lui ou dans un sac (M. DUPUIS / B. GELLER / G. MONNIER / L. MOREILLON / C. PIGUET / C. BETTEX / D. STOLL (éds), Code pénal - Petit commentaire, Bâle 2012, n. 12 ad art. 139). 2.3.2.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Pour les objets ayant une valeur marchande ou objectivement déterminable, seule celle-ci est déterminante (ATF 123 IV 113 consid. 3d ; ATF 121 IV 261 consid. 2c). La limite jusqu'à laquelle cette disposition est applicable a été fixée à CHF 300.- (ATF 123 IV 113 consid. 3d ; arrêt du Tribunal fédéral 6B_208/2009 du 8 septembre 2009 consid. 1).</w:t>
      </w:r>
    </w:p>
    <w:p>
      <w:r>
        <w:t>- 9/21 - P/14772/2015 2.3.3. L'art. 30 CP dispose que si une infraction n'est punie que sur plainte, toute personne lésée peut porter plainte contre l'auteur (al. 1). Si l'ayant droit a expressément renoncé à porter plainte, sa renonciation est définitive (al. 3). 2.4.1. L'art. 123 CP réprime les lésions du corps humain ou de la santé qui ne peuvent être qualifiées de graves au sens de l'art. 122 CP.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Une atteinte de nature et d'intensité bénignes et qui n'engendre qu'un trouble passager et léger du sentiment de bien-être ne suffit pas. Il faut se fonder sur les effets que l'atteinte peut avoir sur une personne de sensibilité moyenne placée dans la même situation. Les circonstances concrètes doivent néanmoins être prises en considération (âge de la victime, son état de santé, le cadre social dans lequel elle vit ou travaille) (ATF 134 IV 189 consid. 1.4 p. 192). L'infraction est de nature intentionnelle, le dol éventuel étant suffisant. 2.4.2. À teneur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 arrêts du Tribunal fédéral 6B_163/2008 du 15 avril 2008 consid. 2 et 6P.99/2001 du 8 octobre 2001 consid. 2b et 2c). 2.4.3. La distinction entre lésions corporelles et voies de fait peut s'avérer délicate.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w:t>
      </w:r>
    </w:p>
    <w:p>
      <w:r>
        <w:t>- 10/21 - P/14772/2015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2.5</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p. 44). Sur le plan subjectif, il faut que l'auteur ait agi intentionnellement, c'est-à-dire qu'il ait voulu contraindre la victime à adopter le comportement visé en étant conscient de l'illicéité de son comportement ; le dol éventuel suffit (ATF 120 IV 17 consid. 2c p. 22). 2.6.1. L'art. 115 al. 1 let. b LEtr réprime le comportement de quiconque séjourne illégalement en Suisse, notamment après l'expiration de la durée du séjour non soumis à autorisation ou du séjour autorisé. 2.6.2.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w:t>
      </w:r>
    </w:p>
    <w:p>
      <w:r>
        <w:t>- 11/21 - P/14772/2015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s'est ralliée à cette jurisprudence (AARP/50/2016 du 8 février 2016), même s'il n'est pas nécessairement manifeste qu'une peine pécuniaire puisse entraver une procédure de retour au même titre qu'une peine privative de liberté ni que l'impossibilité d'infliger l'une ou l'autre de ces deux sanctions doive aboutir à un acquittement, plutôt qu'à une exemption de peine. Par ailleurs, le Tribunal fédéral a précisé, en se fondant sur la jurisprudence européenne (arrêt du 6 décembre 2011 C-329/11 Achughbabian, pt 41), que la Directive sur le retour n'est pas applicable aux ressortissants des pays tiers qui ont commis, outre le séjour irrégulier, un ou plusieurs autres délits en dehors du droit pénal sur les étrangers (arrêt du Tribunal fédéral 6B_320/2013 du 29 août 2013 consid. 3.2.). 2.7.1. En l'espèce, il est établi et non contesté par l'appelant qu'il s'est emparé, le 31 juillet 2015, dans le magasin F______ sis ______, de deux paquets de saumon qu'il a dissimulés sous son tee-shirt, ainsi que d'un pack de bières, dans l'intention de les dérober. L'appelant a également admis avoir bousculé la gérante du magasin. Il a pu s'enfuir à force de se débattre, avant d'être maîtrisé par plusieurs personnes présentes, ce que les collaborateurs du magasin et le témoin ont tous confirmé.</w:t>
      </w:r>
    </w:p>
    <w:p>
      <w:r>
        <w:t>- 12/21 - P/14772/2015 Cela étant, les éléments du dossier, notamment les premières déclarations de E______, ne permettent pas de tenir pour établi que l'appelant était encore en possession de la marchandise lorsqu'il l'a poussée. La gérante a tenu des propos pour le moins confus à cet égard, tant devant la police qu'au Ministère public. Ni C______, ni D______ n'ont été en mesure de se souvenir si l'intéressée avait récupéré la marchandise ou non. L'appelant a, en revanche, été constant et déclaré que la gérante lui avait repris le saumon et qu'il avait déposé le pack de bières, avant qu'il ne renverse cette dernière. Au bénéfice du doute, il faut donc retenir qu'il l'a bousculée pour assurer sa fuite, plutôt que pour conserver son butin, ce qui exclut l'application de l'art. 140 CP. Les faits commis par l'appelant doivent ainsi être qualifiés de voies de fait (art. 126 CP) et de vol d'importance mineure (art. 139 CP cum art. 172ter CP), soit des infractions poursuivies sur plainte. E______ ayant retiré sa plainte et la F______ n'en ayant pas déposé, il existe un empêchement de procéder (art. 403 al. 1 let. c CPP). Partant, l'appelant sera acquitté du chef d'infraction de brigandage. Le jugement sera dès lors modifié sur ce point. 2.7.2. La construction à laquelle se sont livrés le Ministère public dans l'acte d'accusation, puis le Tribunal de police, s'agissant de la tentative de lésions corporelles simples et la contrainte, n'est pas convaincante. Il ne ressort du dossier aucun élément permettant de retenir que l'appelant avait l'intention de causer des lésions corporelles à la partie plaignante lorsqu'il l'a saisie par le cou, même par dol éventuel. À teneur des déclarations de E______ et de l'intéressée elle-même, l'intimée a certes été choquée par les événements, mais n'a ressenti aucune douleur. L'atteinte infligée doit ainsi être qualifiée de bénigne, ce qui exclut l'application de l'art. 123 CP. Rien ne permet d'affirmer non plus que les éléments constitutifs de l'infraction de contrainte sont réalisés, l'acte d'accusation étant pour le moins laconique à cet égard. On n'y trouve aucune description permettant d'identifier dans quelle mesure l'appelant a obligé C______ à faire, à ne pas faire ou à laisser faire un acte, ni a voulu la contraindre à adopter le comportement visé. En revanche, il doit être jugé que l'appelant a commis des voies de fait (art. 126 al. 1 CP), l'atteinte à l'intégrité physique et psychique de C______ dépassant ce qui est socialement admissible, ce qui est corroboré tant par le récit de la victime, que celui de la gérante. Les déclarations de l'appelant ont, quant à elles, constamment varié à ce propos, son conseil admettant néanmoins les voies de fait en audience d'appel.</w:t>
      </w:r>
    </w:p>
    <w:p>
      <w:r>
        <w:t>- 13/21 - P/14772/2015 Partant, l'appelant sera reconnu coupable de voies de fait et acquitté des chefs de tentative de lésions corporelles simples et de contrainte. Le jugement sera modifié sur ces points également. 2.7.3. Il est établi que l'appelant a séjourné en Suisse pendant la période pénale sans être au bénéfice des autorisations nécessaires, fait qu'il a d'ailleurs reconnu lors de sa première audition. À teneur de l'attestation du 6 juillet 2015, l'appelant fait l'objet d'une décision exécutoire de renvoi et doit quitter la Suisse dans les meilleurs délais, mais au plus tard le 30 juillet 2015. Dans l'intervalle, il a néanmoins droit à une aide d'urgence correspondant à ses besoins vitaux, ce qui ne suffit pas à fonder un droit temporaire à demeurer sur le territoire suisse (cf. AARP/112/2016 du 24 mars 2016). La question de l'infraction à la LEtr ne se pose pas, A______ n'ayant pas commis d'autres délits, ce qui exclut le prononcé d'une condamnation pénale au regard de la jurisprudence du Tribunal fédéral et de la Directive sur le retour. En outre, au jour de l'arrestation de l'appelant, la procédure de renvoi n'avait pas encore été menée à terme sans succès, vu que sa présence était tolérée jusqu'au 30 juillet 2015. Partant, l'appelant sera acquitté du chef de séjour illégal et le jugement querellé sera modifié à cet égard aussi.</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Sont des contraventions les infractions passibles d'une amende (art. 103 CP).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correspond schématiquement à CHF 100.- d'amende (R. ROTH / L. MOREILLON (éds), Commentaire romand Code pénal I : art. 1-100 CP, Bâle 2009, n. 19 ad art. 106 CP).</w:t>
      </w:r>
    </w:p>
    <w:p>
      <w:r>
        <w:t>- 14/21 - P/14772/2015</w:t>
      </w:r>
    </w:p>
    <w:p>
      <w:r>
        <w:t>L'amende doit être fixée d'après la culpabilité de l'auteur, en tenant compte de tous les éléments pertinents pour l'apprécier, notamment de ceux qui sont expressément mentionnés à l'art. 47 CP (arrêt du Tribunal fédéral 6B_264/2007 du 19 septembre 2007 consid. 4.6).</w:t>
      </w:r>
    </w:p>
    <w:p>
      <w:r>
        <w:rPr>
          <w:b/>
        </w:rPr>
        <w:t>E. 3.2</w:t>
      </w:r>
    </w:p>
    <w:p>
      <w:r>
        <w:t>En l'espèce, la faute de l'appelant n'est pas à sous-estimer, celui-ci s'en étant pris à l'intégrité physique et psychique d'autrui pour échapper aux conséquences de ses agissements. La précarité de sa situation, au demeurant liée à son statut clandestin, n'excuse en aucun cas le recours à la violence, même mesurée. Ses propos au sujet de son alcoolémie au moment des faits n'ont été corroborés ni par la police, ni par les autres intervenants. Sa collaboration a été médiocre, dès lors qu'il n'a cessé de minimiser son comportement. Il n'a manifesté aucun regret et n'a pas présenté d'excuses à la victime. Ses antécédents sont mauvais, l'intéressé a continué dans une dynamique que le jugement du Tribunal de police du 6___ mai 2014 aurait pourtant dû interrompre. Dans ces circonstances, le montant de l'amende sanctionnant les voies de fait sera arrêté à CHF 400.-, peine de substitution de quatre jours.</w:t>
      </w:r>
    </w:p>
    <w:p>
      <w:r>
        <w:rPr>
          <w:b/>
        </w:rPr>
        <w:t>E. 3.3</w:t>
      </w:r>
    </w:p>
    <w:p>
      <w:r>
        <w:t>L'appelant n'ayant pas commis de nouveau crimes ou délits durant le délai d'épreuve d'un an, le jugement entrepris doit encore être annulé dans la mesure où il prononce la révocation de la libération conditionnelle octroyée le 1___ septembre 2014, l'hypothèse de l'art. 89 al.1 CP n'étant pas réalisée.</w:t>
      </w:r>
    </w:p>
    <w:p>
      <w:r>
        <w:rPr>
          <w:b/>
        </w:rPr>
        <w:t>E. 3.4</w:t>
      </w:r>
    </w:p>
    <w:p>
      <w:r>
        <w:t>Vu l'issue de la procédure, l'appelant doit être mis immédiatement en liberté.</w:t>
      </w:r>
    </w:p>
    <w:p>
      <w:r>
        <w:rPr>
          <w:b/>
        </w:rPr>
        <w:t>E. 4</w:t>
      </w:r>
    </w:p>
    <w:p>
      <w:r>
        <w:t>4.1.1. En vertu de l'art. 429 al.1 let. c CPP, le prévenu acquitté totalement ou en partie ou faisant l'objet d'une ordonnance de classement a droit à une réparation du tort moral subi en raison d'une atteinte particulièrement grave à sa personnalité, notamment en cas de privation de liberté.</w:t>
      </w:r>
    </w:p>
    <w:p>
      <w:r>
        <w:t>4.1.2. 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w:t>
      </w:r>
    </w:p>
    <w:p>
      <w:r>
        <w:t>- 15/21 - P/14772/2015 procédure (ATF 133 IV 150 consid. 5.1 p. 154 s.). La détention avant jugement doit être imputée sur la peine, indépendamment du fait que celle-ci soit assortie du sursis ou non (ATF 135 IV 126 consid. 1.3.6 p. 129 ; arrêt du Tribunal fédéral 6B_84/2014 du 13 août 2014 consid. 5.1 et 5.2 et les références citées).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6B_983/2013 du 24 février 2014 consid. 6.2).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citées ; arrêts du Tribunal fédéral 6B_169/2012 du 25 juin 2012 consid. 6 ; 1B_179/2011 du 17 juin 2011 consid. 4.2). Tel est par exemple le cas lorsque le nombre de jours de détention dépasse celui des jours-amende prononcés (arrêt du Tribunal fédéral 6B_558/2013 du 13 décembre 2013 consid. 1.6 in fine). L'intéressé n'a pas le droit de choisir entre ces deux voies (arrêt du Tribunal fédéral 6B_84/2014 du 13 août 2014 consid. 5.1 et les références citées). Dans ce contexte, il n'est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4.1.3. L'art. 431 al. 2 CPP pose d'ailleurs la règle que la détention excessive est d'abord imputée sur une autre sanction et ne peut donner lieu à une indemnisation que si aucune imputation n'est possible. L'imputation de la détention se fait, en premier lieu, sur les peines privatives de liberté et, en second lieu, sur les autres peines, comme la peine pécuniaire, le travail d'intérêt général et l'amende (arrêt du Tribunal fédéral 6B_343/2015 du 2 février 2016 consid. 1.2.4 et les références citées). Le juge doit ainsi imputer la durée de la détention avant jugement sur les sanctions prononcées en rapport avec d'autres infractions, que ce soit dans la même procédure ou dans une autre (L. MOREILLON / A. PAREIN-REYMOND, CPP, Code de procédure pénale, Bâle 2013, n. 15 ad art. 431). 4.1.4. Le Tribunal fédéral a encore confirmé dans un arrêt du 24 mars 2016 que la jurisprudence relative à l'imputation sur la peine de la détention avant jugement valait également en cas d'application de l'art. 429 al. 1 let. c CPP, cette dernière disposition ne fondant pas un "droit indépendant" à une indemnité. L'art. 51 CP a</w:t>
      </w:r>
    </w:p>
    <w:p>
      <w:r>
        <w:t>- 16/21 - P/14772/2015 ainsi le pas sur l'art. 429 al.1 let. c CPP, de sorte qu'il n'y a pas lieu d'indemniser le prévenu si la totalité des jours de détention peut être imputée sur la quotité de la peine, indépendamment de l'identité entre l'infraction à l'origine de la condamnation et celle qui justifiait la détention avant jugement (arrêt du Tribunal fédéral 6B_431/2015 précité consid. 2 et 3).</w:t>
      </w:r>
    </w:p>
    <w:p>
      <w:r>
        <w:rPr>
          <w:b/>
        </w:rPr>
        <w:t>E. 4.2</w:t>
      </w:r>
    </w:p>
    <w:p>
      <w:r>
        <w:t>En application de ces dispositions, il convient d'imputer les jours de détention avant jugement subis par l'appelant dans le cadre de la présente procédure sur les peines qui lui ont été infligées précédemment, soit sur les peines privatives de liberté en premier lieu, puis sur les peines pécuniaires. En l'occurrence, l'appelant a été condamné à diverses reprises, d'où un solde de peine non exécuté, le 1___ septembre 2014, de six mois et 28 jours (soit environ 208 jours), sur lequel il convient d'imputer une partie des 238 jours de détention avant jugement subis dans le cadre de la présente procédure. Il reste donc un solde d'environ 30 jours, qui peut lui-même être porté en déduction des parts non purgées des peines pécuniaires, dont le sursis a été révoqué. Les jours de détention avant jugement ont ainsi été intégralement imputés sur le solde des peines privatives de liberté des 5___ décembre 2013 et 6___ mai 2014, sur celui de la peine pécuniaire du 3___ mai 2013, ces trois peines étant de la sorte désormais entièrement exécutées, ainsi que sur une partie de celui de la peine pécuniaire du 4___ juillet 2013, dont il reste un solde de jours-amende non exécutés. Il n'y a donc plus de place pour une indemnisation financière. L'appelant sera dès lors débouté de ses prétentions en indemnisation.</w:t>
      </w:r>
    </w:p>
    <w:p>
      <w:r>
        <w:rPr>
          <w:b/>
        </w:rPr>
        <w:t>E. 5</w:t>
      </w:r>
    </w:p>
    <w:p>
      <w:r>
        <w:t>L'appel ayant été admis pour l'essentiel, l'appelant supportera le quart des frais de la procédure de première instance, hors émolument complémentaire, le solde de ces frais, ainsi que l'intégralité de l'émolument complémentaire, étant laissés à la charge de l'Etat (art. 428 al. 1 et 3 CPP). Le jugement entrepris sera réformé sur ce point.</w:t>
      </w:r>
    </w:p>
    <w:p>
      <w:r>
        <w:rPr>
          <w:b/>
        </w:rPr>
        <w:t>E. 6</w:t>
      </w:r>
    </w:p>
    <w:p>
      <w:r>
        <w:t>Pour le même motif, les frais de la procédure d'appel seront laissés à la charge de l'Etat.</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- 17/21 - P/14772/2015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w:t>
      </w:r>
    </w:p>
    <w:p>
      <w:r>
        <w:t>- 18/21 - P/14772/2015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w:t>
      </w:r>
    </w:p>
    <w:p>
      <w:r>
        <w:t>- 19/21 - P/14772/2015 l'activité antérieure à sa saisine n'a pas de pertinence, cette circonstance n'ayant aucune influence sur la quantité de travail effectué par l'avocat en deuxième instance.</w:t>
      </w:r>
    </w:p>
    <w:p>
      <w:r>
        <w:t>7.3.1. En l'occurrence, l'état de frais produit par Me B______, défenseur d'office de A______, considéré dans sa globalité, paraît adéquat et conforme aux principes qui précèdent, de sorte qu'il n'est pas nécessaire de reprendre le détail des postes qui le composent. Il convient d'y ajouter deux heures pour la durée de l'audience d'appel.</w:t>
      </w:r>
    </w:p>
    <w:p>
      <w:r>
        <w:t>7.3.2. L'indemnité sera dès lors arrêtée à CHF 2'178.-, correspondant à neuf heures et dix minutes d'activité au tarif de CHF 200.-/heure, plus la majoration forfaitaire de 10% (CHF 183.33), le temps consacré à l'ensemble de la procédure dépassant désormais les 30 heures, et l'équivalent de la TVA au taux de 8% (CHF 161.33.-). * * * * *</w:t>
      </w:r>
    </w:p>
    <w:p>
      <w:r>
        <w:t>- 20/21 - P/14772/2015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