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AARP/164/2016 vom 14. April 2016</w:t>
      </w:r>
    </w:p>
    <w:p>
      <w:r>
        <w:t>GE Cour de justice, 2016-04-14, FR</w:t>
      </w:r>
    </w:p>
    <w:p>
      <w:r>
        <w:rPr>
          <w:b/>
        </w:rPr>
        <w:t xml:space="preserve">Quelle: </w:t>
      </w:r>
      <w:r>
        <w:t>https://mcp.opencaselaw.ch/entscheid/ge_gerichte_AARP_164_2016</w:t>
      </w:r>
    </w:p>
    <w:p>
      <w:r>
        <w:t>FR: GE_GERICHTE AARP/164/2016 du 14 avril 2016</w:t>
      </w:r>
    </w:p>
    <w:p>
      <w:r>
        <w:t>IT: GE_GERICHTE AARP/164/2016 del 14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En l'espèce, l'appel ne porte que sur un volet de la culpabilité, ainsi que sur la peine. Dans la mesure où elle n'est plus remise en cause, la partie du verdict de culpabilité qui n'est pas contestée sera confirmée, dès lors qu'elle est conforme aux éléments du dossier et consacre une correcte application du droit.</w:t>
      </w:r>
    </w:p>
    <w:p>
      <w:r>
        <w:rPr>
          <w:b/>
        </w:rPr>
        <w:t>E. 2.1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ATF 120 IV 136 consid. 2a p. 139 ; arrêts du Tribunal fédéral 6B_1009/2014 du 2 avril 2015 consid. 5.1.1 et 6B_659/2013 du 4 novembre 2013 consid. 1.1). Cette infraction se distingue de l'opposition aux actes de l'autorité de</w:t>
      </w:r>
    </w:p>
    <w:p>
      <w:r>
        <w:t>- 10/24 -</w:t>
      </w:r>
    </w:p>
    <w:p>
      <w:r>
        <w:t>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2.2</w:t>
      </w:r>
    </w:p>
    <w:p>
      <w:r>
        <w:t>L'appelant conteste avoir tenté de s'emparer de l'arme de l'appointé C______ et remet ainsi partiellement en cause le complexe de fait fondant sa culpabilité pour violence ou menace contre les autorités et les fonctionnaires (art. 285 ch. 1 CP).</w:t>
      </w:r>
    </w:p>
    <w:p>
      <w:r>
        <w:t>L'appelant s'est abstenu, durant la procédure, de s'opposer formellement à ce que ce fait lui soit imputé, pour une seule raison : il ne se souvient pratiquement pas du déroulement de l'altercation avec les policiers. Il est donc difficile pour une personne de nier des faits sans pouvoir se remémorer leur contexte. La récente dénégation de</w:t>
      </w:r>
    </w:p>
    <w:p>
      <w:r>
        <w:t>- 11/24 -</w:t>
      </w:r>
    </w:p>
    <w:p>
      <w:r>
        <w:t>l'appelant est donc aussi tardive qu'inopportune, celui-ci s'en étant précédemment remis à la version des policiers, et ayant même reconnu les faits à l'audience de jugement. Elle est surtout dénuée de toute crédibilité, faute d'éléments de preuve corroboratifs, alors que son acte est établi à teneur du dossier. A ses convictions personnelles en matière d'armes – lesquelles ne sont pas relevantes –, s'opposent les déclarations constantes du gendarme D______ dont on peine à distinguer les motivations qui l'auraient poussé à imaginer un élément de fait parmi tant d'autres qui ne sont pas contestés. Son récit de l'intervention est intégralement corroboré par celui de son coéquipier, à l'exception dudit fait. A ce propos, il ne parait pas surprenant que l'appointé C______ n'ait pas surprit l'appelant dans sa tentative, tant il semble évident que celui-ci ait volontairement agi à son insu.</w:t>
      </w:r>
    </w:p>
    <w:p>
      <w:r>
        <w:t>C'est donc à bon droit que le premier juge a pris en compte la tentative de soustraction de l'arme de l'appointé C______ comme un des actes caractérisant le comportement d'opposition de l'appelant à l'endroit des policiers. En menant une lutte acharnée alors qu'ils tentaient de l'immobiliser en le menottant, il les a, avec conscience et volonté, empêchés d'accomplir un acte entrant dans leurs fonctions, de sorte que l'infraction prévue à l'art. 285 ch. 1 CP est consommée. Il sied de relever que même si la tentative de saisir l'arme n'avait pas été retenue, cela n'aurait eu aucune influence sur le verdict de culpabilité, vu qu'elle s'inscrivait dans un complexe de fait à propos duquel la culpabilité de l'appelant n'est plus contestée.</w:t>
      </w:r>
    </w:p>
    <w:p>
      <w:r>
        <w:t>Le verdict de culpabilité du chef d'infraction à l'art. 285 ch. 1 CP sera intégralement confirmé.</w:t>
      </w:r>
    </w:p>
    <w:p>
      <w:r>
        <w:rPr>
          <w:b/>
        </w:rPr>
        <w:t>E. 3.1</w:t>
      </w:r>
    </w:p>
    <w:p>
      <w:r>
        <w:t>A teneur de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- 12/24 -</w:t>
      </w:r>
    </w:p>
    <w:p>
      <w:r>
        <w:t>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ss ; arrêt du Tribunal fédéral 6B_660/2013 du 19 novembre 2013 consid. 2.2).</w:t>
      </w:r>
    </w:p>
    <w:p>
      <w:r>
        <w:rPr>
          <w:b/>
        </w:rPr>
        <w:t>E. 3.3</w:t>
      </w:r>
    </w:p>
    <w:p>
      <w:r>
        <w:t>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3.5</w:t>
      </w:r>
    </w:p>
    <w:p>
      <w:r>
        <w:t>Aux termes de l'art. 41 al. 1 CP, le juge peut prononcer une peine privative de liberté ferme de moins de six mois uniquement si les conditions du sursis à</w:t>
      </w:r>
    </w:p>
    <w:p>
      <w:r>
        <w:t>- 13/24 -</w:t>
      </w:r>
    </w:p>
    <w:p>
      <w:r>
        <w:t>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 du Tribunal fédéral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3.6</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- 14/24 -</w:t>
      </w:r>
    </w:p>
    <w:p>
      <w:r>
        <w:rPr>
          <w:b/>
        </w:rPr>
        <w:t>E. 3.7</w:t>
      </w:r>
    </w:p>
    <w:p>
      <w:r>
        <w:t>Conformément à l'art. 34 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w:t>
      </w:r>
    </w:p>
    <w:p>
      <w:r>
        <w:rPr>
          <w:b/>
        </w:rPr>
        <w:t>E. 3.8</w:t>
      </w:r>
    </w:p>
    <w:p>
      <w:r>
        <w:t>Le travail d'intérêt général, qui peut être prononcé aux conditions de l'art. 37 al. 1 CP (ATF 134 IV 97 consid. 6.3.3.2 p. 107 s.),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Il n'est pas une sanction réservée exclusivement aux personnes exerçant une activité lucrative. Contrairement à d'autres ordres juridiques, la loi ne prévoit pas de motif d'exclusion de certaines catégories d'auteurs déterminées. La peine de travail concerne ainsi tous les condamnés pour autant que les conditions en soient réalisées et qu'elle apparaisse adéquate (arrêt du Tribunal fédéral 6B_541/2007 du 13 mai 2008 consid. 4.2.4 et les références citées). 3.9.1. Les infractions de lésions corporelles simples qualifiées, violence ou menace contre les autorités et les fonctionnaires, conduite malgré une incapacité et violation de l'interdiction de conduire sous l'influence de l'alcool, ainsi que de conduite sans autorisation, sont réprimées d'une peine privative de liberté de trois ans au plus ou d'une peine pécuniaire (art. 123 ch. 1 et 2 et 285 ch. 1 CP, art. 91 al. 2 let. a et b et 95 al. 1 let. b LCR). Celles de violation simple des règles de la LCR et de consommation personnelle de stupéfiants sont sanctionnées de l'amende (art. 90 al. 1 LCR et art. 19a ch. 1 LStup). 3.9.2. La faute de l'appelant est importante. Il s'en est pris à l'intégrité physique de sa compagne, mû par la colère. Son mobile est d'autant plus égoïste que cette colère était infondée et trouvait sa cause dans la quantité de liquide ou de marijuana qu'il avait consommée. Les conflits que le couple rencontrait, lesquels étaient intimement liés aux addictions de l'appelant, ne justifiaient pas une résolution par la violence, tant il est évident que d'autres alternatives se présentent dans ce type de situation.</w:t>
      </w:r>
    </w:p>
    <w:p>
      <w:r>
        <w:t>- 15/24 -</w:t>
      </w:r>
    </w:p>
    <w:p>
      <w:r>
        <w:t>Ses agissements envers les agents de police sont hautement blâmables. Il s'est opposé à réitérées reprises et avec virulence à l'autorité de ces derniers qui ne faisaient qu'accomplir leur devoir conformément à la procédure, n'hésitant pas à s'en prendre à leur intégrité physique. Son comportement sur la route se situe dans la même veine, dans la mesure où les nombreuses violations de la LCR représentent autant de mises en danger, heureusement abstraites, des autres usagers. Il a agi de la sorte par pure convenance personnelle, sa priorité étant d'assouvir ses besoins d'alcool et de drogue. Sa situation personnelle difficile, soit essentiellement sa grave dépendance auxdites substances, explique en partie ses agissements, sans toutefois les justifier. En ce sens, sa responsabilité faiblement restreinte constitue un élément atténuant. La bonne collaboration de l'appelant, de même que la récente prise de conscience qu'il a effectuée et les regrets qu'il a exprimés, ne conduisent toutefois pas la CPAR à lui accorder le bénéfice du repentir sincère. Comme précédemment évoqué, il serait prématuré de considérer le ressaisissement qu'il allègue, soit notamment ses abstinences qui ne sont toutefois pas démontrées, comme étant acquis, vu sa proximité. En tout état de cause, ces démarches ne sont aucunement désintéressées, dans la mesure où elles visent essentiellement les propres intérêts de l'appelant (notamment sa santé). Faute de comportement méritoire au sens de la jurisprudence, l’appelant ne sera pas suivi en tant qu'il plaide la circonstance atténuante de l’art. 48 let. d CP, étant relevé que les éléments susmentionnés seront pris en considération dans le cadre de la fixation de la peine comme facteurs atténuants. Aucune des autres circonstances prévues par l'art. 48 CP n'est réalisée, ni d'ailleurs plaidée. Quant au pronostic, la CPAR relèvera d'emblée que le prononcé d'un traitement ambulatoire – mesure non-contestée par l'appelant et dont la nécessité sera examinée ci-après –, implique qu'il soit défavorable puisqu'il est notamment fondé sur le risque élevé de récidive déterminé à l'aune des antécédents et de la situation actuelle de l'appelant (ATF 135 IV 180 consid. 2.3 p. 187 ; arrêt du Tribunal fédéral 6B_94/2015 du 24 septembre 2015 consid. 1.1 et les arrêts cités). Assortir la peine du sursis et envisager le traitement préconisé sous forme de règle de conduite est en conséquence exclu. Un examen au fond ne conduit toutefois pas à un autre constat, le premier juge ayant effectué une correcte appréciation du cas d'espèce. On soulignera que l'appelant a fait l'objet de sept condamnations en six ans, dont quatre pour des infractions contre l'intégrité corporelle de sa compagne, l'autorité publique ou la sécurité routière. Pour avoir commis en moyenne une infraction par année, il n'a tiré aucune leçon des décisions de justice prises à son encontre. Un des quatre sursis qui lui avaient été octroyés a été révoqué, l'appelant n'ayant pas su en profiter. Les trois peines fermes prononcées subséquemment n'ont guère eu plus</w:t>
      </w:r>
    </w:p>
    <w:p>
      <w:r>
        <w:t>- 16/24 -</w:t>
      </w:r>
    </w:p>
    <w:p>
      <w:r>
        <w:t>d'effets, l'appelant ayant fait preuve d'une totale indifférence. L'absence de condamnation pendant deux ans (de 2013 à 2015) ne saurait être considérée comme un élément atténuant, dans la mesure où les premiers faits, objets de la présente procédure, ont été commis en mars 2014, soit sept mois après sa dernière condamnation (en août 2013). A dire d'expert, le risque de récidive, constaté précédemment, deviendrait concret en cas de rechute de l'appelant. L'évolution semble positive sur ce point, l'appelant se déclarant abstinent tant à l'alcool qu'au chanvre, depuis bientôt une année. Il est néanmoins regrettable qu'aucune preuve matérielle (analyses médicales) ne corrobore ses propos. A tenir néanmoins son sevrage pour avéré, ce que l'on ne peut qu'encourager, la prudence est de mise pour plusieurs raisons. L'appelant, qui souffrait d'une grave et ancienne dépendance tant à l'alcool qu'au cannabis, a mis prématurément un terme aux suivis psychologique et médical qu'il avait entrepris. Il se trouve actuellement livré à lui-même, sans avoir pleinement conscience de son problème ni du danger que représente la consommation simultanée de ces deux substances, selon l'expertise. A cela s'ajoute une rupture sociale qui semble s'être récemment résorbée, et une situation financière difficile, dont on ne peut que souhaiter qu'elle s'améliore, ce qui ne sera néanmoins pas tâche aisée vu le parcours professionnel de l'appelant. Eu égard à la répétition de délits de même genre sur plusieurs années, à l'insensibilité de l'appelant aux peines fermes prononcées à son encontre, à sa situation personnelle complexe et fragile, dont l'amélioration n'en est qu'à ses débuts, le pronostic ne peut qu'être défavorable. Par conséquent, seule une peine ferme peut être arrêtée. Eu égard à la gravité de la faute de l'appelant et à sa propension à commettre de nouvelles infractions, et dans la mesure où il n'a eu cure des sept peines pécuniaires prononcées à son encontre, telle sanction, tout comme le travail d'intérêt général, sont assurément trop cléments, faute de déployer un effet dissuasif. Seule une peine privative de liberté peut désormais être envisagée. La quotité de six mois consacre une correcte application des critères de l'art. 47 CP à l'aune des éléments susrappelés, de sorte qu'elle sera confirmée. Il convient de préciser que l'appelant pourra bénéficier du régime de la semi- détention si les conditions y relatives sont réalisées (art. 77b CP). Dans la mesure où le pronostic est défavorable, l'appelant présentant un risque de récidive certain, c'est à bon droit que le premier juge a révoqué le sursis relatif à la peine pécuniaire de 40 jours-amende à CHF 30.- l'unité, prononcé le 17 juin 2011 par le MP. Le montant de l'amende, ainsi que la quotité de la peine privative de liberté de substitution, ayant été arrêtés de manière adéquate (art. 106 CP) ce que l'appelant ne conteste d'ailleurs pas, ils seront confirmés.</w:t>
      </w:r>
    </w:p>
    <w:p>
      <w:r>
        <w:t>- 17/24 -</w:t>
      </w:r>
    </w:p>
    <w:p>
      <w:r>
        <w:t>3.10.1.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3.10.2.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(art. 63 al. 2 CP).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6B_1150/2014 du 19 novembre 2015 consid. 3.2.2). 3.10.3. Si les conditions d'application de l'une ou l'autre des mesures prévues aux art. 56 ss CP sont remplies, en particulier une mesure thérapeutique institutionnelle (art. 59 CP) ou un traitement ambulatoire (art. 63 CP), le pronostic déterminant pour</w:t>
      </w:r>
    </w:p>
    <w:p>
      <w:r>
        <w:t>- 18/24 -</w:t>
      </w:r>
    </w:p>
    <w:p>
      <w:r>
        <w:t>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w:t>
      </w:r>
    </w:p>
    <w:p>
      <w:r>
        <w:rPr>
          <w:b/>
        </w:rPr>
        <w:t>E. 3.11</w:t>
      </w:r>
    </w:p>
    <w:p>
      <w:r>
        <w:t>La nécessité d'un traitement de ses troubles est manifeste, à teneur du rapport d'expertise, ce à quoi l'appelant consent. Il est en effet important qu'il prenne pleinement conscience de l'influence de l'alcool et de la drogue sur son impulsivité et qu'il cesse à long terme sa consommation, afin de prévenir une récidive. Il n'y a donc pas lieu de renoncer au traitement ambulatoire ordonné, en sus de la peine privative de liberté ferme, l'expert ayant expressément relevé que le traitement pouvait être instauré en détention et étant rappelé que la suspension de la peine constitue l'exception (art. 63 al. 2 a contrario CP). Sans préjudice au principe de l'interdiction de la reformatio in pejus, la CPAR précisera en quoi consiste le traitement ordonné, le jugement querellé étant muet sur ce point. Conformément aux recommandations de l'expert, l'appelant sera soumis à un suivi multidisciplinaire (médico-psychologique et social), lequel devra comprendre des contrôles sanguins aléatoires attestant son abstinence à l'alcool, auxquels l'appelant a expressément consenti. L'obligation lui est faite d'adresser tous les trois mois au SAPEM un rapport relatif à son suivi et à son évolution. Les fréquences des contrôles et des entretiens seront laissées à l’appréciation des thérapeutes. Le jugement entrepris sera complété dans le sens des considérants.</w:t>
      </w:r>
    </w:p>
    <w:p>
      <w:r>
        <w:rPr>
          <w:b/>
        </w:rPr>
        <w:t>E. 4.1</w:t>
      </w:r>
    </w:p>
    <w:p>
      <w:r>
        <w:t>L'indemnisation pour frais de défense, au sens des art. 429 al. 1 let. a et 436 al. 2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Bâle 2011, n. 12 ad art. 429 ; ACPR/41/2012 du 30 janvier 2012), le prévenu n'ayant en principe pas à supporter les frais afférents à la défense d'office (cf. art. 426 al. 1 CPP).</w:t>
      </w:r>
    </w:p>
    <w:p>
      <w:r>
        <w:rPr>
          <w:b/>
        </w:rPr>
        <w:t>E. 4.1.3</w:t>
      </w:r>
    </w:p>
    <w:p>
      <w:r>
        <w:t>et BB.2013.127 du 4 décembre 2013 consid. 4.2) sont incluses dans le forfait.</w:t>
      </w:r>
    </w:p>
    <w:p>
      <w:r>
        <w:t>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(AARP/300/2015 du 16 juillet 2015).</w:t>
      </w:r>
    </w:p>
    <w:p>
      <w:r>
        <w:t>6.2.4.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(AARP/21/2016 du 22 janvier 2016).</w:t>
      </w:r>
    </w:p>
    <w:p>
      <w:r>
        <w:rPr>
          <w:b/>
        </w:rPr>
        <w:t>E. 4.2</w:t>
      </w:r>
    </w:p>
    <w:p>
      <w:r>
        <w:t>Me B______ ayant été nommé défenseur d'office aux fins d'assister l'appelant dans le cadre de la procédure, il apparaît que celui-ci n'a pas supporté de dépenses relatives à un avocat de choix. Il ne saurait donc prétendre à une indemnité à ce titre, les conditions des art. 429 al. 1 let. a et 436 al. 2 CPP n'étant pas réalisées. Ses conclusions seront rejetées.</w:t>
      </w:r>
    </w:p>
    <w:p>
      <w:r>
        <w:t>- 19/24 -</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Le verdict de culpabilité étant intégralement confirmé et l'appelant étant débouté de ses autres conclusions, il convient de maintenir sa condamnation pour moitié aux frais de procédure de première instance, et pour totalité à l'émolument de jugement complémentaire. L'appel étant rejeté, l'appelant supportera les frais de ladite procédure (art. 428 al. 1 CPP et 14 al. 1 let. e du Règlement fixant le tarif des frais en matière pénale ; E 4 10.03) comprenant un émolument de CHF 2'000.-.</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w:t>
      </w:r>
    </w:p>
    <w:p>
      <w:r>
        <w:t>- 20/24 -</w:t>
      </w:r>
    </w:p>
    <w:p>
      <w:r>
        <w:t>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w:t>
      </w:r>
    </w:p>
    <w:p>
      <w:r>
        <w:t>- 21/24 -</w:t>
      </w:r>
    </w:p>
    <w:p>
      <w:r>
        <w:t>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L'annonce d'appel et la déclaration d'appel (ordonnance de la Cour des plaintes du Tribunal pénal fédéral BB.2014.51 du 21 novembre 2014 consid. 2.1 ; décisions de la Cour des plaintes du Tribunal pénal fédéral BB.2013.165 du 24 janvier 2014 consid.</w:t>
      </w:r>
    </w:p>
    <w:p>
      <w:r>
        <w:rPr>
          <w:b/>
        </w:rPr>
        <w:t>E. 6.3</w:t>
      </w:r>
    </w:p>
    <w:p>
      <w:r>
        <w:t>En l’espèce, conformément aux principes qui précèdent, il convient d’écarter de l’état de frais du défenseur d'office de l'appelant, 1h consacrée à des recherches juridiques, l’État n’ayant pas à assumer la charge de la formation de l’avocat stagiaire, 2h10' affectées à la rédaction de la déclaration d'appel, à l'analyse de la réponse du MP, ainsi qu'à la confection d'un chargé de pièces, toutes tâches incluses dans la majoration forfaitaire.</w:t>
      </w:r>
    </w:p>
    <w:p>
      <w:r>
        <w:t>- 22/24 -</w:t>
      </w:r>
    </w:p>
    <w:p>
      <w:r>
        <w:t>Ces déductions effectuées, l’activité déployée en appel pour la défense des intérêts de l’appelant couverte par l’assistance juridique sera donc arrêtée à 6h45' au tarif de l'avocat stagiaire. Il convient d’y ajouter l’indemnisation forfaire de 20 % et la TVA au taux de 8%. Il en résulte que l’indemnisation requise sera accordée à hauteur de CHF 568.65. * * * * *</w:t>
      </w:r>
    </w:p>
    <w:p>
      <w:r>
        <w:t>- 23/24 -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