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AARP/163/2016 vom 20. April 2016</w:t>
      </w:r>
    </w:p>
    <w:p>
      <w:r>
        <w:t>GE Cour de justice, 2016-04-20, FR</w:t>
      </w:r>
    </w:p>
    <w:p>
      <w:r>
        <w:rPr>
          <w:b/>
        </w:rPr>
        <w:t xml:space="preserve">Quelle: </w:t>
      </w:r>
      <w:r>
        <w:t>https://mcp.opencaselaw.ch/entscheid/ge_gerichte_AARP_163_2016</w:t>
      </w:r>
    </w:p>
    <w:p>
      <w:r>
        <w:t>FR: GE_GERICHTE AARP/163/2016 du 20 avril 2016</w:t>
      </w:r>
    </w:p>
    <w:p>
      <w:r>
        <w:t>IT: GE_GERICHTE AARP/163/2016 del 20 aprile 2016</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- 12/22 - P/9505/2014 La Chambre limite son examen aux violations décrites dans l'acte d'appel (art. 404 al. 1 CPP), sauf en cas de décisions illégales ou inéquitables (art. 404 al. 2 CPP).</w:t>
      </w:r>
    </w:p>
    <w:p>
      <w:r>
        <w:rPr>
          <w:b/>
        </w:rPr>
        <w:t>E. 2</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w:t>
      </w:r>
    </w:p>
    <w:p>
      <w:r>
        <w:t>- 13/22 - P/9505/2014</w:t>
      </w:r>
    </w:p>
    <w:p>
      <w:r>
        <w:rPr>
          <w:b/>
        </w:rPr>
        <w:t>E. 3.1</w:t>
      </w:r>
    </w:p>
    <w:p>
      <w:r>
        <w:t>Aux termes de l'art. 190 al. 1 CP, se rend coupable de viol celui qui, notamment en usant de menace ou de violence, en exerçant sur sa victime des pressions d'ordre psychique ou en la mettant hors d'état de résister, aura contraint une personne de sexe féminin à subir l'acte sexuel. Le viol est un délit de violence, qui suppose en règle générale une agression physique. Il en résulte que toute pression, tout comportement conduisant à un acte sexuel non souhaité ne saurait être qualifié de contrainte. L'art. 190 CP, comme l'art. 189 CP (contrainte sexuelle), ne protège des atteintes à la libre détermination en matière sexuelle que pour autant que l'auteur surmonte ou déjoue la résistance que l'on pouvait raisonnablement attendre de la victime (ATF 133 IV 49 consid. 4 p. 52 ; ATF 131 IV 167 consid. 3.1 p. 170). L'infraction visée par l'art. 190 CP exige donc non seulement qu'une personne subisse l'acte sexuel alors qu'elle ne le veut pas, mais également qu'elle le subisse du fait d'une contrainte exercée par l'auteur. À défaut d'une telle contrainte, de l'intensité exigée par la loi et la jurisprudence, et même si la victime ne souhaitait pas entretenir une relation sexuelle, il n'y a pas viol (arrêts du Tribunal fédéral 6B_710/2012 du 3 avril 2013 consid. 3.1 et 6B_311/2011 du 19 juillet 2011 consid. 5.2). Les pressions d'ordre psychique visent les cas où l'auteur provoque chez la victime des effets d'ordre psychique, tels que la surprise, la frayeur ou le sentiment d'une situation sans espoir, propres à la faire céder (ATF 128 IV 106 consid. 3a/bb p. 111 ; ATF 122 IV 97 consid. 2b p. 100). En cas de pressions d'ordre psychique, il n'est toutefois pas nécessaire que la victime ait été mise hors d'état de résister. La pression exercée doit néanmoins revêtir une intensité particulière, comparable à celle d'un acte de violence ou d'une menace (ATF 133 IV 49 consid. 6.2 p. 55).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p. 170 ss). Constituent ainsi une pression psychique suffisante des comportements laissant craindre des actes de violence à l'encontre de la victime ou de tiers, notamment des menaces de violence contre des proches, ou, dans des relations de couple, des situations d'intimidation, de tyrannie permanente ou de perpétuelle psycho-terreur (ATF 131 IV 167 consid. 3.1 p. 171). Peuvent éventuellement également entrer en ligne de compte une situation d'infériorité physique et de dépendance sociale et émotionnelle ou un harcèlement continu (ATF 126 IV 124 consid. 3b p. 129 ss). Pour déterminer si l'on se trouve en présence d'une contrainte sexuelle, il faut procéder à une appréciation globale des circonstances concrètes déterminantes. Une appréciation individualisée est nécessaire, laquelle doit reposer sur des éléments suffisamment typiques. La mesure de l'influence qui doit avoir été exercée sur la victime pour qu'il y ait pression d'ordre psychique n'est pas aisément déterminable, de sorte qu'il y a lieu de se montrer prudent dans l'application des dispositions réprimant</w:t>
      </w:r>
    </w:p>
    <w:p>
      <w:r>
        <w:t>- 14/22 - P/9505/2014 le viol (cf. ATF 128 IV 97 consid. 2b p. 99). Des adultes en possession de leurs facultés mentales doivent être en mesure d'opposer une résistance plus forte que des enfants (ATF 131 IV 167 consid. 3.1 p. 171).</w:t>
      </w:r>
    </w:p>
    <w:p>
      <w:r>
        <w:t>3.2.1 Tant l'appelante principale que l'intimé soutiennent que les déclarations de l'autre ont fluctué au cours de l'instruction, de manière à décrédibiliser la thèse que la partie adverse défend. Les deux ont des raisons de le prétendre, mais force est de constater que les variations de la partie plaignante sont autrement plus significatives. L'appelante a tout d'abord menti sur sa connaissance de Genève, en soutenant qu'elle ne connaissait guère la ville et s'était retrouvée dans une situation inconfortable faute de pouvoir regagner son domicile de Berne. Ce mensonge n'est pas anodin car il impacte fortement les circonstances de la rencontre avec l'intimé. La victime ne peut en effet soutenir valablement qu'elle n'avait aucune solution pour dormir, dans la mesure où elle disposait d'un logement. C'est en conséquence sur une base volontaire que la partie plaignante a suivi l'intimé, ce qu'elle a cherché à nier en s'appuyant sur un élément de contrainte lié au nombre d'individus rencontrés vers la gare, lequel a d'ailleurs fluctué au gré des discours tenus à des tiers. Les variations pour les faits constitutifs d'abus sexuel sont encore plus embarrassantes pour la crédibilité des dires de l'appelante. Il est à cet égard étonnant que celle-ci ne se soit plainte d'une fellation qu'aux HUG, après qu'elle eut pourtant longuement déposé à la police. La fellation est ensuite mentionnée devant le Ministère public mais uniquement en tant que tentative et sous couvert d'une prestation tarifée. L'explication fournie devant les juges d'appel n'est guère satisfaisante, s'agissant d'un acte dont on peut penser qu'il revêt, au même titre qu'un autre abus, une importance primordiale si l'auteur exerce la contrainte pour parvenir à ses fins. A la police et aux HUG, la partie plaignante n'a pas fait mention des caractéristiques entourant le viol dont elle parle abondamment devant le Ministère public. Les détails sur le fait que son abuseur a dû avoir recours à la force pour passer outre sa crispation viennent en effet renforcer la thèse de la contrainte qui est mise à mal par la relative docilité avec laquelle elle a suivi l'intimé, hors et dans l'appartement. D'autres éléments sont de nature à troubler la crédibilité du récit de la partie plaignante. Il est en premier lieu incompréhensible qu'elle n'ait pas réagi plus fortement à la vue d'un seul lit dans la chambre, sans qu'elle n'allègue avoir voulu rebrousser chemin et en avoir été empêchée. Le trouble est encore plus marqué à l'évocation de la manière libre de toute entrave avec laquelle elle paraît avoir évolué dans l'appartement, nonobstant les attaques sexuelles subies. Il est à cet égard incompréhensible qu'elle ne se soit pas manifestée par des cris ou des appels au secours, que la tierce personne présente dans l'appartement soit une femme ou un homme n'important guère. La partie plaignante n'a pas cherché à fuir les lieux, sinon</w:t>
      </w:r>
    </w:p>
    <w:p>
      <w:r>
        <w:t>- 15/22 - P/9505/2014 après les premiers attouchements selon ses dires, suivant même docilement son agresseur aux toilettes, chacun son tour. Elle n'a pourtant pas prétendu que la porte ait été fermée à clé. L'appelante est retournée au lit après avoir été violée, qui plus est en petite tenue, ce qui ne manque pas de surprendre non plus. Elle a réussi à dormir jusqu'au matin, sans qu'elle n'éprouve de la crainte face à une nouvelle agression, d'autant plus probable que celui qu'elle a dépeint comme son abuseur était toujours présent dans le logement. L'absence de transports publics à une heure très matinale pour justifier son maintien dans l'appartement constitue à n'en pas douter une explication guère probante, une fuite à pied étant toujours possible en cas de nécessité absolue. De plus, la partie plaignante est revenue sur les lieux où elle se plaint d'avoir été abusée, en y restant même plusieurs heures, faute de pouvoir pénétrer dans l'appartement. Aux personnes s'inquiétant du bruit causé par ses coups sur la porte, elle a insisté sur sa volonté de récupérer ses affaires laissées dans l'appartement. Même en tenant compte des réticences à parler de sexe, il y a là une réaction incompréhensible, surtout à l'égard de gens bien attentionnés, pour certains d'ailleurs de sexe féminin et de sa génération. D'autres éléments sont également troublants, mais l'intimé les partage pour partie. Ainsi en est-il de l'éjaculation, dont aucune trace n'a été décelée sur le sol. Les hématomes constatés médicalement témoignent d'une certaine brutalité, sans qu'elle ne puisse assurément être rattachée aux actes sexuels décrits. Le constat s'impose cependant d'une relation sexuelle pas aussi sereine que celle que décrit l'appelant. Celui-ci n'a fait nulle mention de la vision d'un film pornographique après son arrivée sur place, ce qui ne permet ni d'infirmer ni de confirmer l'allégation de la partie plaignante sur ce point, non décisif il est vrai. Enfin, l'intimé peut difficilement être retourné à l'appartement pour y dormir, car il aurait assurément entendu les coups de sonnette du concierge et ceux portés par la partie plaignante pour qu'on lui ouvre la porte. Cela étant, les accusations d'abus sexuel formées par la partie plaignante souffrent de trop d'imprécisions et son récit manque de cohérence pour que les éléments à charge puissent être retenus à l'encontre de l'intimé. Trop d'éléments nuisent à la crédibilité des déclarations de la victime, sans que la référence à la culture asiatique puisse à elle seule en effacer la portée. L'appelante a assurément mal vécu la relation qu'elle a entretenue avec l'intimé, même s'il convient d'en relativiser les effets à observer le défaut de soins spécifiques dont elle a eu besoin, le défaut de toute consultation ne manquant pas d'être contradictoire avec les observations du foyer d'urgence "N______". Il reste que la perte de virginité semble représenter un élément déterminant pour des jeunes filles comme la partie plaignante, ce qui peut aussi expliquer son désarroi et sa volonté de réparation. Au vu de ce qui précède, la CPAR est d'avis que l'intimé n'a pas brisé la résistance de sa victime au sens des exigences légales ni usé de pressions psychiques qui auraient pu</w:t>
      </w:r>
    </w:p>
    <w:p>
      <w:r>
        <w:t>- 16/22 - P/9505/2014 avoir pour effet de mettre à néant l'absence de contrainte, les parties n'étant pas liées par un lien particulier de confiance ou de soumission. 3.2.2 A prendre connaissance des dépositions des tiers, il semble bien que la partie plaignante était très peinée de ne pas pouvoir retrouver les biens matériels disparus. Le concierge ne dit pas autre chose, à l'instar d'ailleurs de sa fille. Cette préoccupation centrée sur des valeurs et un téléphone portable perdus peut se comprendre pour une étudiante, mais moins dans le contexte, ce que n'a pas manqué de faire observer le concierge. Les circonstances du vol d'argent sont d'ailleurs surprenantes, dans la mesure où il aurait eu lieu, selon les dires de la partie plaignante à la police, en début de soirée, sans que cet acte ne l'empêche de retourner dans le lit où elle avait déjà subi des attouchements. La disparition de valeurs est validée par le mot laissé par la partie plaignante sur la porte de l'appartement, même si elle a nuancé en audience d'appel ses accusations, tant elle ne pouvait rien affirmer de péremptoire au sujet de la disparition de son téléphone et des valeurs qu'elle possédait. Le vol est contesté par l'appelant, sinon pour une partie de l'argent selon les propos tenus à son ami I______, encore que celui-ci a été moins affirmatif par la suite. De fait, la police n'a rien retrouvé sur place, sans que la disparition de ces biens matériels soit nécessairement imputable à l'intimé puisque deux autres personnes au minimum ont logé dans l'appartement le 22 septembre 2014. Au vu de ce qui précède, les indices permettant de confondre l'intimé comme auteur du vol ne sont pas assez probants, les aveux à hauteur de CHF 170.- étant eux-mêmes sujets à caution. Le doute doit lui profiter, de sorte que le jugement entrepris sera réformé sur ce point, tout comme sa condamnation à réparer le dommage matériel correspondant. Le jugement sera en revanche confirmé pour l'acquittement visant les abus d'ordre sexuel, les appels de la partie plaignante et du MP étant rejetés dans cette mesure. Il s'ensuit que les prétentions en indemnisation ne seront pas suivies.</w:t>
      </w:r>
    </w:p>
    <w:p>
      <w:r>
        <w:rPr>
          <w:b/>
        </w:rPr>
        <w:t>E. 4.1</w:t>
      </w:r>
    </w:p>
    <w:p>
      <w:r>
        <w:t>À teneur de l'art. 429 CPP, le prévenu a notamment droit, s'il bénéficie d'une ordonnance de classement ou d'un acquittement total ou partiel, à une réparation du tort moral subi en raison d'une atteinte particulièrement grave à sa personnalité, notamment en cas de privation de liberté (let. c).</w:t>
      </w:r>
    </w:p>
    <w:p>
      <w:r>
        <w:t>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p. 357).</w:t>
      </w:r>
    </w:p>
    <w:p>
      <w:r>
        <w:t>En l'absence de circonstances particulières qui pourraient fonder le versement d'un montant inférieur ou supérieur, le Tribunal fédéral considère qu'un montant de CHF 200.- par jour en cas de détention injustifiée de courte durée constitue une</w:t>
      </w:r>
    </w:p>
    <w:p>
      <w:r>
        <w:t>- 17/22 - P/9505/2014 indemnité appropriée (arrêts du Tribunal fédéral 6B_437/2014 du 29 décembre 2014 consid. 3 ; 6B_133/2014 du 18 septembre 2014 consid. 3.2 et les arrêts cités).</w:t>
      </w:r>
    </w:p>
    <w:p>
      <w:r>
        <w:t>Lorsque l'indemnisation se fait sous la forme d'un capital, le demandeur a droit aux intérêts de celui-ci. Ces intérêts, dont le taux s'élève à 5% (art. 73 de la loi fédérale du 30 mars 1911, complétant le Code civil suisse (CO, Code des obligations – RS 220), courent en principe à partir du jour de l'évènement dommageable et ce, jusqu'au moment de la capitalisation. Il s'agit d'intérêts du dommage ou intérêts compensatoires, qui ont pour but de remettre le lésé dans la situation patrimoniale qui aurait été la sienne si la réparation du dommage avait eu lieu immédiatement (L. THÉVENOZ / F. WERRO, Commentaire romand : Code des obligations I, Genève, Bâle, Munich, 2003, n. 19 ad art. 42 et n. 3 ad art. 104).</w:t>
      </w:r>
    </w:p>
    <w:p>
      <w:r>
        <w:rPr>
          <w:b/>
        </w:rPr>
        <w:t>E. 4.2</w:t>
      </w:r>
    </w:p>
    <w:p>
      <w:r>
        <w:t>Les premiers juges ont dénié à l'appelant joint le droit à une indemnisation "au vu du verdict de culpabilité", ce qui ne manque pas de surprendre.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1313 ad art. 438 CPP [actuel art. 430 CPP] ; arrêts du Tribunal fédéral 6B_110/2015 du 16 février 2016 consid. 2 ; 6B_187/2015 du 28 avril 2015 consid. 6.1.2 et 6B_300/2012 du 10 juin 2013 consid. 2.4). Dans un cas où le prévenu, acquitté pour une contrainte sexuelle, avait été finalement reconnu coupable de lésions corporelles, son droit à une indemnisation pour tort moral lui a été reconnu par le Tribunal fédéral (arrêt 6B_187/2015 du 28 avril 2015, consid. 6.2). Il en est a fortiori de même en l'espèce, l'intimé ayant été entièrement libéré des charges pesant sur lui.</w:t>
      </w:r>
    </w:p>
    <w:p>
      <w:r>
        <w:t>L'indemnité journalière de base doit être fixée à CHF 200.- selon la jurisprudence fédérale, étant rappelé que cette quotité n'est pas conditionnée à la preuve des souffrances vécues pendant la détention. Au vu de ce qui précède, une indemnité de CHF 20'800.- (104 jours à CHF 200.-) sera accordée à l'appelant pour la détention injustifiée subie, en application de l’art. 429 al. 1 let. c CPP et de la jurisprudence, montant auquel il y a lieu d'ajouter les intérêts moratoires à 5% à compter du 21 septembre 2013.</w:t>
      </w:r>
    </w:p>
    <w:p>
      <w:r>
        <w:rPr>
          <w:b/>
        </w:rPr>
        <w:t>E. 5.1</w:t>
      </w:r>
    </w:p>
    <w:p>
      <w:r>
        <w:t>p. 201-202). La juridiction d'appel est partant compétente, au sens de l'art. 135 al. 2 CPP, pour statuer sur l'activité postérieure à sa saisine.</w:t>
      </w:r>
    </w:p>
    <w:p>
      <w:r>
        <w:t>6.2.1.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l'équivalent de la TVA est versé en sus.</w:t>
      </w:r>
    </w:p>
    <w:p>
      <w:r>
        <w:t>6.2.2. À teneur de la jurisprudence, est décisif pour fixer la rémunération de l'avocat, le nombre d'heures nécessaires pour assurer la défense d'office du prévenu (arrêt du Tribunal fédéral 2C_509/2007 du 19 novembre 2007 consid. 4). Les autorités cantonales jouissent d'une importante marge d'appréciation lorsqu'elles fixent, dans la procédure, la rémunération du défenseur d'office (arrêt du Tribunal fédéral 6B_856/2014 du 10 juillet 2015 consid. 2.3 et les références citées). (…) Si, comme à Genève, la réglementation prévoit un tarif réduit, celui-ci s'applique sans égard à l'issue du procès (ATF 139 IV 261 consid. 2 p. 261 ss). Le temps consacré à la procédure ne doit être pris en considération que dans la mesure où il apparait raisonnablement nécessaire à l'accomplissement de son mandant par un avocat expérimenté. (…) L'avocat [doit] ainsi veiller au respect du principe de proportionnalité (R. HAUSER / E. SCHWERI / K. HARTMANN, Schweizerisches Strafprozessrecht, 6e éd., Bâle 2005, no 5 ad § 109).</w:t>
      </w:r>
    </w:p>
    <w:p>
      <w:r>
        <w:t>- 19/22 - P/9505/2014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6.2.3.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w:t>
      </w:r>
    </w:p>
    <w:p>
      <w:r>
        <w:rPr>
          <w:b/>
        </w:rPr>
        <w:t>E. 6.1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w:t>
      </w:r>
    </w:p>
    <w:p>
      <w:r>
        <w:rPr>
          <w:b/>
        </w:rPr>
        <w:t>E. 6.3</w:t>
      </w:r>
    </w:p>
    <w:p>
      <w:r>
        <w:t>En l'occurrence, considérés dans leur globalité, les états de frais produits par le défenseur d'office de A______ et le conseil juridique gratuit de C______ paraissent adéquats et conformes aux principes qui précèdent, de sorte qu'il n'est pas nécessaire de reprendre le détail des postes qui les composent.</w:t>
      </w:r>
    </w:p>
    <w:p>
      <w:r>
        <w:rPr>
          <w:b/>
        </w:rPr>
        <w:t>E. 6.3.1</w:t>
      </w:r>
    </w:p>
    <w:p>
      <w:r>
        <w:t>Aussi, l'indemnité requise par le défenseur d'office de A______ sera-t-elle allouée à hauteur de CHF 3'564.-, correspondant à 15 heures d'activité au tarif de</w:t>
      </w:r>
    </w:p>
    <w:p>
      <w:r>
        <w:t>- 20/22 - P/9505/2014 CHF 200.-/heure [CHF 3'000.-], plus la majoration forfaitaire de 10% au vu de l'activité déployée en première instance [CHF 300.-] et l'équivalent de la TVA au taux de 8% [CHF 264.-].</w:t>
      </w:r>
    </w:p>
    <w:p>
      <w:r>
        <w:rPr>
          <w:b/>
        </w:rPr>
        <w:t>E. 6.3.2</w:t>
      </w:r>
    </w:p>
    <w:p>
      <w:r>
        <w:t>Il en sera de même de l'indemnité requise par le conseil juridique gratuit de de C______ par CHF 5'524.20, ce montant correspondant à 23 heures et quart d'activité au tarif de CHF 200.-/heure [CHF 4'650.-] plus la majoration forfaitaire de 10% au vu de l'activité déployée en première instance [CHF 465.-] et l'équivalent de la TVA au taux de 8% en CHF 409.20.</w:t>
      </w:r>
    </w:p>
    <w:p>
      <w:r>
        <w:t>* * * * *</w:t>
      </w:r>
    </w:p>
    <w:p>
      <w:r>
        <w:t>- 21/22 - P/9505/2014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